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0"/>
        <w:gridCol w:w="6666"/>
      </w:tblGrid>
      <w:tr w:rsidR="00621CDC" w14:paraId="117269B3" w14:textId="77777777" w:rsidTr="1950F895">
        <w:tc>
          <w:tcPr>
            <w:tcW w:w="10456" w:type="dxa"/>
            <w:gridSpan w:val="2"/>
            <w:shd w:val="clear" w:color="auto" w:fill="FFC000" w:themeFill="accent4"/>
          </w:tcPr>
          <w:p w14:paraId="573CBAD0" w14:textId="77777777" w:rsidR="00621CDC" w:rsidRDefault="000C3467" w:rsidP="008F6C0F">
            <w:pPr>
              <w:spacing w:after="0" w:line="240" w:lineRule="auto"/>
              <w:rPr>
                <w:b/>
                <w:bCs/>
              </w:rPr>
            </w:pPr>
            <w:r>
              <w:rPr>
                <w:noProof/>
              </w:rPr>
              <w:drawing>
                <wp:anchor distT="0" distB="0" distL="114300" distR="114300" simplePos="0" relativeHeight="251657728" behindDoc="0" locked="0" layoutInCell="1" allowOverlap="1" wp14:anchorId="154505D6" wp14:editId="13FD988B">
                  <wp:simplePos x="0" y="0"/>
                  <wp:positionH relativeFrom="column">
                    <wp:posOffset>-31750</wp:posOffset>
                  </wp:positionH>
                  <wp:positionV relativeFrom="paragraph">
                    <wp:posOffset>14605</wp:posOffset>
                  </wp:positionV>
                  <wp:extent cx="1314450" cy="660400"/>
                  <wp:effectExtent l="0" t="0" r="0" b="0"/>
                  <wp:wrapSquare wrapText="right"/>
                  <wp:docPr id="3" name="Picture 3" descr="AL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N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4450" cy="660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D7B17A" w14:textId="725271D3" w:rsidR="00621CDC" w:rsidRPr="004D33C6" w:rsidRDefault="00AF52F2" w:rsidP="00621CDC">
            <w:pPr>
              <w:spacing w:after="0" w:line="240" w:lineRule="auto"/>
              <w:jc w:val="center"/>
              <w:rPr>
                <w:b/>
                <w:bCs/>
                <w:sz w:val="20"/>
                <w:szCs w:val="20"/>
              </w:rPr>
            </w:pPr>
            <w:r w:rsidRPr="004D33C6">
              <w:rPr>
                <w:b/>
                <w:bCs/>
                <w:sz w:val="28"/>
                <w:szCs w:val="28"/>
              </w:rPr>
              <w:t>Mental Health</w:t>
            </w:r>
            <w:r w:rsidR="004D33C6" w:rsidRPr="004D33C6">
              <w:rPr>
                <w:b/>
                <w:bCs/>
                <w:sz w:val="28"/>
                <w:szCs w:val="28"/>
              </w:rPr>
              <w:t xml:space="preserve"> and Well-being</w:t>
            </w:r>
            <w:r w:rsidRPr="004D33C6">
              <w:rPr>
                <w:b/>
                <w:bCs/>
                <w:sz w:val="28"/>
                <w:szCs w:val="28"/>
              </w:rPr>
              <w:t xml:space="preserve"> Advocacy Resource: Template</w:t>
            </w:r>
          </w:p>
          <w:p w14:paraId="20C06F16" w14:textId="77777777" w:rsidR="00621CDC" w:rsidRDefault="00621CDC" w:rsidP="008F6C0F">
            <w:pPr>
              <w:tabs>
                <w:tab w:val="left" w:pos="9698"/>
              </w:tabs>
              <w:spacing w:line="240" w:lineRule="auto"/>
            </w:pPr>
          </w:p>
        </w:tc>
      </w:tr>
      <w:tr w:rsidR="001E067E" w14:paraId="2F9F96ED" w14:textId="77777777" w:rsidTr="1950F895">
        <w:tc>
          <w:tcPr>
            <w:tcW w:w="5665" w:type="dxa"/>
            <w:shd w:val="clear" w:color="auto" w:fill="FFF2CC" w:themeFill="accent4" w:themeFillTint="33"/>
          </w:tcPr>
          <w:p w14:paraId="6D4DAF2C" w14:textId="17A0751A" w:rsidR="00AF52F2" w:rsidRDefault="00776157" w:rsidP="008F6C0F">
            <w:pPr>
              <w:spacing w:after="0" w:line="240" w:lineRule="auto"/>
              <w:rPr>
                <w:rFonts w:eastAsia="Times New Roman"/>
                <w:b/>
              </w:rPr>
            </w:pPr>
            <w:r>
              <w:rPr>
                <w:rFonts w:eastAsia="Times New Roman"/>
                <w:b/>
              </w:rPr>
              <w:t xml:space="preserve">Name of the </w:t>
            </w:r>
            <w:r w:rsidR="004D33C6">
              <w:rPr>
                <w:rFonts w:eastAsia="Times New Roman"/>
                <w:b/>
              </w:rPr>
              <w:t>initiative</w:t>
            </w:r>
          </w:p>
          <w:p w14:paraId="58461F32" w14:textId="22D13CCD" w:rsidR="00DC3F75" w:rsidRPr="00621CDC" w:rsidRDefault="00AF52F2" w:rsidP="00DB3565">
            <w:pPr>
              <w:spacing w:line="240" w:lineRule="auto"/>
              <w:rPr>
                <w:sz w:val="24"/>
                <w:szCs w:val="24"/>
              </w:rPr>
            </w:pPr>
            <w:r>
              <w:rPr>
                <w:rFonts w:eastAsia="Times New Roman"/>
                <w:i/>
                <w:iCs/>
              </w:rPr>
              <w:t>Give a brief descriptive name for the activity</w:t>
            </w:r>
            <w:r w:rsidR="00776157">
              <w:rPr>
                <w:rFonts w:eastAsia="Times New Roman"/>
                <w:i/>
                <w:iCs/>
              </w:rPr>
              <w:t xml:space="preserve"> or initiative</w:t>
            </w:r>
            <w:r>
              <w:rPr>
                <w:rFonts w:eastAsia="Times New Roman"/>
                <w:i/>
                <w:iCs/>
              </w:rPr>
              <w:t xml:space="preserve"> you were involved in organising related to mental health and well-being</w:t>
            </w:r>
          </w:p>
        </w:tc>
        <w:tc>
          <w:tcPr>
            <w:tcW w:w="4791" w:type="dxa"/>
            <w:shd w:val="clear" w:color="auto" w:fill="auto"/>
          </w:tcPr>
          <w:p w14:paraId="1527B6E1" w14:textId="44252EC4" w:rsidR="00737C8E" w:rsidRDefault="00737C8E" w:rsidP="008F6C0F">
            <w:pPr>
              <w:tabs>
                <w:tab w:val="left" w:pos="9698"/>
              </w:tabs>
              <w:spacing w:line="240" w:lineRule="auto"/>
            </w:pPr>
            <w:r>
              <w:t xml:space="preserve">Be </w:t>
            </w:r>
            <w:proofErr w:type="spellStart"/>
            <w:r w:rsidR="00AB2C64">
              <w:t>w</w:t>
            </w:r>
            <w:r>
              <w:t>ell@NCL</w:t>
            </w:r>
            <w:proofErr w:type="spellEnd"/>
            <w:r w:rsidR="00AB2C64">
              <w:t xml:space="preserve">: a </w:t>
            </w:r>
            <w:r>
              <w:t>collectio</w:t>
            </w:r>
            <w:r w:rsidR="00AB2C64">
              <w:t xml:space="preserve">n of tried and tested books focusing on mental health. </w:t>
            </w:r>
          </w:p>
        </w:tc>
      </w:tr>
      <w:tr w:rsidR="001E067E" w14:paraId="59226A20" w14:textId="77777777" w:rsidTr="1950F895">
        <w:tc>
          <w:tcPr>
            <w:tcW w:w="5665" w:type="dxa"/>
            <w:shd w:val="clear" w:color="auto" w:fill="FFF2CC" w:themeFill="accent4" w:themeFillTint="33"/>
          </w:tcPr>
          <w:p w14:paraId="186DDCFD" w14:textId="77777777" w:rsidR="00AF52F2" w:rsidRDefault="00AF52F2" w:rsidP="00AF52F2">
            <w:pPr>
              <w:spacing w:after="0"/>
              <w:rPr>
                <w:rFonts w:eastAsia="Times New Roman"/>
                <w:b/>
              </w:rPr>
            </w:pPr>
            <w:r w:rsidRPr="00AF52F2">
              <w:rPr>
                <w:rFonts w:eastAsia="Times New Roman"/>
                <w:b/>
              </w:rPr>
              <w:t>Target group</w:t>
            </w:r>
          </w:p>
          <w:p w14:paraId="49C3960C" w14:textId="3DC2BA77" w:rsidR="00DC3F75" w:rsidRDefault="00AF52F2" w:rsidP="00AF52F2">
            <w:r>
              <w:rPr>
                <w:rFonts w:eastAsia="Times New Roman"/>
                <w:i/>
                <w:iCs/>
              </w:rPr>
              <w:t>Was it aimed at all students or staff or a particular group?</w:t>
            </w:r>
            <w:r w:rsidR="004D33C6">
              <w:rPr>
                <w:rFonts w:eastAsia="Times New Roman"/>
                <w:i/>
                <w:iCs/>
              </w:rPr>
              <w:t xml:space="preserve"> </w:t>
            </w:r>
          </w:p>
        </w:tc>
        <w:tc>
          <w:tcPr>
            <w:tcW w:w="4791" w:type="dxa"/>
            <w:shd w:val="clear" w:color="auto" w:fill="auto"/>
          </w:tcPr>
          <w:p w14:paraId="6F6036C7" w14:textId="1FA79D85" w:rsidR="00DC3F75" w:rsidRDefault="00AB2C64" w:rsidP="008F6C0F">
            <w:pPr>
              <w:tabs>
                <w:tab w:val="left" w:pos="9698"/>
              </w:tabs>
              <w:spacing w:line="240" w:lineRule="auto"/>
            </w:pPr>
            <w:r>
              <w:t xml:space="preserve">Available to all students, but by default also open to </w:t>
            </w:r>
            <w:proofErr w:type="gramStart"/>
            <w:r>
              <w:t>University</w:t>
            </w:r>
            <w:proofErr w:type="gramEnd"/>
            <w:r>
              <w:t xml:space="preserve"> staff as well. </w:t>
            </w:r>
          </w:p>
        </w:tc>
      </w:tr>
      <w:tr w:rsidR="001E067E" w14:paraId="4B465D6C" w14:textId="77777777" w:rsidTr="1950F895">
        <w:tc>
          <w:tcPr>
            <w:tcW w:w="5665" w:type="dxa"/>
            <w:shd w:val="clear" w:color="auto" w:fill="FFF2CC" w:themeFill="accent4" w:themeFillTint="33"/>
          </w:tcPr>
          <w:p w14:paraId="184E34F4" w14:textId="77777777" w:rsidR="00DB3565" w:rsidRDefault="00AF52F2" w:rsidP="00EE5534">
            <w:pPr>
              <w:spacing w:after="0" w:line="240" w:lineRule="auto"/>
              <w:rPr>
                <w:rFonts w:eastAsia="Times New Roman"/>
                <w:b/>
              </w:rPr>
            </w:pPr>
            <w:r w:rsidRPr="00AF52F2">
              <w:rPr>
                <w:rFonts w:eastAsia="Times New Roman"/>
                <w:b/>
              </w:rPr>
              <w:t>Description</w:t>
            </w:r>
          </w:p>
          <w:p w14:paraId="0B523AA1" w14:textId="179ED07C" w:rsidR="00DC3F75" w:rsidRPr="008F6C0F" w:rsidRDefault="00AF52F2" w:rsidP="00DB3565">
            <w:pPr>
              <w:spacing w:line="240" w:lineRule="auto"/>
              <w:rPr>
                <w:b/>
              </w:rPr>
            </w:pPr>
            <w:r>
              <w:rPr>
                <w:rFonts w:eastAsia="Times New Roman"/>
                <w:i/>
                <w:iCs/>
              </w:rPr>
              <w:t>Give a short description of what was involved in organizing the activity</w:t>
            </w:r>
            <w:r w:rsidR="004D33C6">
              <w:rPr>
                <w:rFonts w:eastAsia="Times New Roman"/>
                <w:i/>
                <w:iCs/>
              </w:rPr>
              <w:t xml:space="preserve"> or initiative</w:t>
            </w:r>
            <w:r>
              <w:rPr>
                <w:rFonts w:eastAsia="Times New Roman"/>
                <w:i/>
                <w:iCs/>
              </w:rPr>
              <w:t>.</w:t>
            </w:r>
          </w:p>
        </w:tc>
        <w:tc>
          <w:tcPr>
            <w:tcW w:w="4791" w:type="dxa"/>
            <w:shd w:val="clear" w:color="auto" w:fill="auto"/>
          </w:tcPr>
          <w:p w14:paraId="403388B8" w14:textId="76CAEAC4" w:rsidR="00054D09" w:rsidRDefault="00AB2C64" w:rsidP="008F6C0F">
            <w:pPr>
              <w:spacing w:after="0" w:line="240" w:lineRule="auto"/>
            </w:pPr>
            <w:r>
              <w:t xml:space="preserve">Be </w:t>
            </w:r>
            <w:proofErr w:type="spellStart"/>
            <w:r>
              <w:t>well@NCL</w:t>
            </w:r>
            <w:proofErr w:type="spellEnd"/>
            <w:r>
              <w:t xml:space="preserve"> is a discreet collection of books which are replicated in three of our campus libraries. Students </w:t>
            </w:r>
            <w:r w:rsidR="00453A62">
              <w:t xml:space="preserve">/ staff </w:t>
            </w:r>
            <w:r>
              <w:t>can either pick a book off the shelves</w:t>
            </w:r>
            <w:r w:rsidR="00453A62">
              <w:t xml:space="preserve"> or be directed to </w:t>
            </w:r>
            <w:proofErr w:type="gramStart"/>
            <w:r w:rsidR="00453A62">
              <w:t>particular book</w:t>
            </w:r>
            <w:proofErr w:type="gramEnd"/>
            <w:r w:rsidR="00453A62">
              <w:t xml:space="preserve"> in a therapy session. </w:t>
            </w:r>
            <w:r w:rsidR="00F04D8C">
              <w:t xml:space="preserve"> The collection sits on the University wellbeing app and includes information which can be used within a therapy session or can be accessed individually by students themselves. </w:t>
            </w:r>
          </w:p>
          <w:p w14:paraId="65180B1B" w14:textId="77777777" w:rsidR="00453A62" w:rsidRDefault="00453A62" w:rsidP="008F6C0F">
            <w:pPr>
              <w:spacing w:after="0" w:line="240" w:lineRule="auto"/>
            </w:pPr>
          </w:p>
          <w:p w14:paraId="0F9AE44F" w14:textId="03E161D7" w:rsidR="00453A62" w:rsidRDefault="00453A62" w:rsidP="008F6C0F">
            <w:pPr>
              <w:spacing w:after="0" w:line="240" w:lineRule="auto"/>
            </w:pPr>
            <w:r>
              <w:t xml:space="preserve">The setup of the collection involved liaising with therapists in the student wellbeing team, the purchasing of the stock, </w:t>
            </w:r>
            <w:r w:rsidR="000D5633">
              <w:t xml:space="preserve">the </w:t>
            </w:r>
            <w:r>
              <w:t>creating</w:t>
            </w:r>
            <w:r w:rsidR="000D5633">
              <w:t xml:space="preserve"> of</w:t>
            </w:r>
            <w:r>
              <w:t xml:space="preserve"> a brand and marketing materials and deciding on a location of the collection within our libraries. </w:t>
            </w:r>
          </w:p>
          <w:p w14:paraId="4F424C52" w14:textId="77777777" w:rsidR="00453A62" w:rsidRDefault="00453A62" w:rsidP="008F6C0F">
            <w:pPr>
              <w:spacing w:after="0" w:line="240" w:lineRule="auto"/>
            </w:pPr>
          </w:p>
          <w:p w14:paraId="6C9FD8A0" w14:textId="0FC6B8C1" w:rsidR="00453A62" w:rsidRDefault="00453A62" w:rsidP="008F6C0F">
            <w:pPr>
              <w:spacing w:after="0" w:line="240" w:lineRule="auto"/>
            </w:pPr>
            <w:r>
              <w:t xml:space="preserve">Ongoing tasks include the development of the collection (in terms of titles and scope) and the ongoing marketing of it. </w:t>
            </w:r>
          </w:p>
        </w:tc>
      </w:tr>
      <w:tr w:rsidR="001E067E" w14:paraId="080CB954" w14:textId="77777777" w:rsidTr="1950F895">
        <w:tc>
          <w:tcPr>
            <w:tcW w:w="5665" w:type="dxa"/>
            <w:shd w:val="clear" w:color="auto" w:fill="FFF2CC" w:themeFill="accent4" w:themeFillTint="33"/>
          </w:tcPr>
          <w:p w14:paraId="657AD644" w14:textId="77777777" w:rsidR="00DC3F75" w:rsidRDefault="00AF52F2" w:rsidP="00AF52F2">
            <w:pPr>
              <w:tabs>
                <w:tab w:val="left" w:pos="9698"/>
              </w:tabs>
              <w:spacing w:after="0" w:line="240" w:lineRule="auto"/>
              <w:rPr>
                <w:rFonts w:eastAsia="Times New Roman"/>
                <w:b/>
              </w:rPr>
            </w:pPr>
            <w:r w:rsidRPr="00AF52F2">
              <w:rPr>
                <w:rFonts w:eastAsia="Times New Roman"/>
                <w:b/>
              </w:rPr>
              <w:t>Partners</w:t>
            </w:r>
          </w:p>
          <w:p w14:paraId="347AED55" w14:textId="4BBAA6F5" w:rsidR="00AF52F2" w:rsidRPr="00AF52F2" w:rsidRDefault="00AF52F2" w:rsidP="008F6C0F">
            <w:pPr>
              <w:tabs>
                <w:tab w:val="left" w:pos="9698"/>
              </w:tabs>
              <w:spacing w:line="240" w:lineRule="auto"/>
              <w:rPr>
                <w:b/>
              </w:rPr>
            </w:pPr>
            <w:r>
              <w:rPr>
                <w:rFonts w:eastAsia="Times New Roman"/>
                <w:i/>
                <w:iCs/>
              </w:rPr>
              <w:t xml:space="preserve">Was this solely run by the library or were other stakeholders involved, and if </w:t>
            </w:r>
            <w:proofErr w:type="gramStart"/>
            <w:r>
              <w:rPr>
                <w:rFonts w:eastAsia="Times New Roman"/>
                <w:i/>
                <w:iCs/>
              </w:rPr>
              <w:t>so</w:t>
            </w:r>
            <w:proofErr w:type="gramEnd"/>
            <w:r>
              <w:rPr>
                <w:rFonts w:eastAsia="Times New Roman"/>
                <w:i/>
                <w:iCs/>
              </w:rPr>
              <w:t xml:space="preserve"> how?</w:t>
            </w:r>
            <w:r w:rsidR="00776157">
              <w:rPr>
                <w:rFonts w:eastAsia="Times New Roman"/>
                <w:i/>
                <w:iCs/>
              </w:rPr>
              <w:t xml:space="preserve"> Were students involved in planning the session, if so, how?</w:t>
            </w:r>
          </w:p>
        </w:tc>
        <w:tc>
          <w:tcPr>
            <w:tcW w:w="4791" w:type="dxa"/>
            <w:shd w:val="clear" w:color="auto" w:fill="auto"/>
          </w:tcPr>
          <w:p w14:paraId="6AEFAEAB" w14:textId="03872563" w:rsidR="00DC3F75" w:rsidRDefault="00AB2C64" w:rsidP="008F6C0F">
            <w:pPr>
              <w:tabs>
                <w:tab w:val="left" w:pos="9698"/>
              </w:tabs>
              <w:spacing w:line="240" w:lineRule="auto"/>
            </w:pPr>
            <w:r>
              <w:t xml:space="preserve">This collection was developed in conjunction with therapists in our Student Wellbeing team and based on the national Reading well scheme. Therapists chose the additional titles based on their professional experience and the knowledge of the student need and population here at Newcastle. </w:t>
            </w:r>
          </w:p>
        </w:tc>
      </w:tr>
      <w:tr w:rsidR="001E067E" w14:paraId="13CAD97A" w14:textId="77777777" w:rsidTr="1950F895">
        <w:trPr>
          <w:trHeight w:val="1042"/>
        </w:trPr>
        <w:tc>
          <w:tcPr>
            <w:tcW w:w="5665" w:type="dxa"/>
            <w:shd w:val="clear" w:color="auto" w:fill="FFF2CC" w:themeFill="accent4" w:themeFillTint="33"/>
          </w:tcPr>
          <w:p w14:paraId="6B2E91DF" w14:textId="77777777" w:rsidR="00AF52F2" w:rsidRPr="00AF52F2" w:rsidRDefault="00AF52F2" w:rsidP="00AF52F2">
            <w:pPr>
              <w:spacing w:after="0"/>
              <w:rPr>
                <w:rFonts w:eastAsia="Times New Roman"/>
                <w:b/>
              </w:rPr>
            </w:pPr>
            <w:r w:rsidRPr="00AF52F2">
              <w:rPr>
                <w:rFonts w:eastAsia="Times New Roman"/>
                <w:b/>
              </w:rPr>
              <w:t>Strategy</w:t>
            </w:r>
          </w:p>
          <w:p w14:paraId="749F075A" w14:textId="77777777" w:rsidR="00AF52F2" w:rsidRDefault="00AF52F2" w:rsidP="00AF52F2">
            <w:r>
              <w:rPr>
                <w:rFonts w:eastAsia="Times New Roman"/>
                <w:i/>
                <w:iCs/>
              </w:rPr>
              <w:t>How, if at all, was the activity linked into wider library or institutional strategy?</w:t>
            </w:r>
          </w:p>
        </w:tc>
        <w:tc>
          <w:tcPr>
            <w:tcW w:w="4791" w:type="dxa"/>
            <w:shd w:val="clear" w:color="auto" w:fill="auto"/>
          </w:tcPr>
          <w:p w14:paraId="50AF2189" w14:textId="77777777" w:rsidR="00A943D9" w:rsidRDefault="00FB520A" w:rsidP="00F04D8C">
            <w:pPr>
              <w:tabs>
                <w:tab w:val="left" w:pos="9698"/>
              </w:tabs>
              <w:spacing w:line="240" w:lineRule="auto"/>
            </w:pPr>
            <w:r>
              <w:t>The collection fits into the University’s overall Health and Wellbeing Strategy</w:t>
            </w:r>
            <w:r w:rsidR="007518DC">
              <w:t>. This policy document</w:t>
            </w:r>
            <w:r w:rsidR="00F04D8C">
              <w:t xml:space="preserve"> stresses not only the need for initiatives to </w:t>
            </w:r>
            <w:r w:rsidR="00D75033">
              <w:t xml:space="preserve">lead to </w:t>
            </w:r>
            <w:r w:rsidR="00F04D8C">
              <w:t xml:space="preserve">wellbeing action and </w:t>
            </w:r>
            <w:r w:rsidR="00D75033">
              <w:t xml:space="preserve">changing of </w:t>
            </w:r>
            <w:r w:rsidR="00F04D8C">
              <w:t>behaviours</w:t>
            </w:r>
            <w:r w:rsidR="007518DC">
              <w:t xml:space="preserve">, </w:t>
            </w:r>
            <w:r w:rsidR="00F04D8C">
              <w:t xml:space="preserve">but also </w:t>
            </w:r>
            <w:r w:rsidR="00D75033">
              <w:t>has an</w:t>
            </w:r>
            <w:r w:rsidR="00F04D8C">
              <w:t xml:space="preserve"> emphasis of </w:t>
            </w:r>
            <w:r w:rsidR="00505B2A">
              <w:t xml:space="preserve">the importance of </w:t>
            </w:r>
            <w:r w:rsidR="00F04D8C">
              <w:t xml:space="preserve">consulting and collaborating with wellbeing experts. </w:t>
            </w:r>
          </w:p>
          <w:p w14:paraId="13EA04E7" w14:textId="2F399FAB" w:rsidR="00F04D8C" w:rsidRDefault="00F04D8C" w:rsidP="00F04D8C">
            <w:pPr>
              <w:tabs>
                <w:tab w:val="left" w:pos="9698"/>
              </w:tabs>
              <w:spacing w:line="240" w:lineRule="auto"/>
            </w:pPr>
            <w:r>
              <w:t xml:space="preserve">The </w:t>
            </w:r>
            <w:r w:rsidR="00505B2A">
              <w:t xml:space="preserve">Be </w:t>
            </w:r>
            <w:proofErr w:type="spellStart"/>
            <w:r w:rsidR="00505B2A">
              <w:t>well@NCL</w:t>
            </w:r>
            <w:proofErr w:type="spellEnd"/>
            <w:r w:rsidR="00505B2A">
              <w:t xml:space="preserve"> collection</w:t>
            </w:r>
            <w:r>
              <w:t xml:space="preserve"> has been founded on collaboration and will continue to do so. It is also acts as a low-level point of action for both staff and students to improve their own mental health and wellbeing. </w:t>
            </w:r>
          </w:p>
        </w:tc>
      </w:tr>
      <w:tr w:rsidR="001E067E" w14:paraId="25CC900C" w14:textId="77777777" w:rsidTr="1950F895">
        <w:tc>
          <w:tcPr>
            <w:tcW w:w="5665" w:type="dxa"/>
            <w:shd w:val="clear" w:color="auto" w:fill="FFF2CC" w:themeFill="accent4" w:themeFillTint="33"/>
          </w:tcPr>
          <w:p w14:paraId="6805E2B4" w14:textId="77777777" w:rsidR="00AF52F2" w:rsidRPr="00AF52F2" w:rsidRDefault="00AF52F2" w:rsidP="008F6C0F">
            <w:pPr>
              <w:spacing w:after="0"/>
              <w:rPr>
                <w:rFonts w:eastAsia="Times New Roman"/>
                <w:b/>
              </w:rPr>
            </w:pPr>
            <w:r w:rsidRPr="00AF52F2">
              <w:rPr>
                <w:rFonts w:eastAsia="Times New Roman"/>
                <w:b/>
              </w:rPr>
              <w:t>Evaluation</w:t>
            </w:r>
          </w:p>
          <w:p w14:paraId="44D6F4DF" w14:textId="77777777" w:rsidR="00DC3F75" w:rsidRPr="00AF52F2" w:rsidRDefault="00AF52F2" w:rsidP="008F6C0F">
            <w:pPr>
              <w:spacing w:after="0"/>
              <w:rPr>
                <w:rFonts w:eastAsia="Times New Roman"/>
              </w:rPr>
            </w:pPr>
            <w:r>
              <w:rPr>
                <w:rFonts w:eastAsia="Times New Roman"/>
                <w:i/>
                <w:iCs/>
              </w:rPr>
              <w:t>How, if at all, was the activity evaluated?</w:t>
            </w:r>
          </w:p>
        </w:tc>
        <w:tc>
          <w:tcPr>
            <w:tcW w:w="4791" w:type="dxa"/>
            <w:shd w:val="clear" w:color="auto" w:fill="auto"/>
          </w:tcPr>
          <w:p w14:paraId="057CF4EB" w14:textId="4E416DBD" w:rsidR="00DC3F75" w:rsidRDefault="00F04D8C" w:rsidP="008F6C0F">
            <w:pPr>
              <w:tabs>
                <w:tab w:val="left" w:pos="9698"/>
              </w:tabs>
              <w:spacing w:line="240" w:lineRule="auto"/>
            </w:pPr>
            <w:r>
              <w:t xml:space="preserve">The collection is evaluated by the collection of loans and online access statistics (where appropriate) every quarter. We also have anonymous evaluation postcards which sit alongside the book. Students can fill these in and place them in anonymous boxes beside the collection. </w:t>
            </w:r>
            <w:r w:rsidR="00763F7A">
              <w:t xml:space="preserve">Anecdotal feedback is given via the </w:t>
            </w:r>
            <w:proofErr w:type="gramStart"/>
            <w:r w:rsidR="00763F7A">
              <w:t>therapists</w:t>
            </w:r>
            <w:proofErr w:type="gramEnd"/>
            <w:r w:rsidR="00763F7A">
              <w:t xml:space="preserve"> and we are in the process of developing a methodical system where the therapists can record the number of referrals and any qualitative comments they receive. </w:t>
            </w:r>
          </w:p>
        </w:tc>
      </w:tr>
      <w:tr w:rsidR="001E067E" w14:paraId="537BB2C3" w14:textId="77777777" w:rsidTr="1950F895">
        <w:tc>
          <w:tcPr>
            <w:tcW w:w="5665" w:type="dxa"/>
            <w:shd w:val="clear" w:color="auto" w:fill="FFF2CC" w:themeFill="accent4" w:themeFillTint="33"/>
          </w:tcPr>
          <w:p w14:paraId="33BEEA70" w14:textId="77777777" w:rsidR="000D1564" w:rsidRPr="00AF52F2" w:rsidRDefault="000D1564" w:rsidP="00AF52F2">
            <w:pPr>
              <w:spacing w:after="0"/>
              <w:rPr>
                <w:rFonts w:eastAsia="Times New Roman"/>
                <w:b/>
              </w:rPr>
            </w:pPr>
            <w:r w:rsidRPr="00AF52F2">
              <w:rPr>
                <w:rFonts w:eastAsia="Times New Roman"/>
                <w:b/>
              </w:rPr>
              <w:t>What worked</w:t>
            </w:r>
          </w:p>
          <w:p w14:paraId="45162325" w14:textId="77777777" w:rsidR="000D1564" w:rsidRDefault="000D1564" w:rsidP="00DB3565">
            <w:pPr>
              <w:rPr>
                <w:rFonts w:eastAsia="Times New Roman"/>
                <w:i/>
                <w:iCs/>
              </w:rPr>
            </w:pPr>
            <w:r>
              <w:rPr>
                <w:rFonts w:eastAsia="Times New Roman"/>
                <w:i/>
                <w:iCs/>
              </w:rPr>
              <w:t xml:space="preserve">Colleagues are looking for tips to help them run their events more effectively, </w:t>
            </w:r>
            <w:r>
              <w:rPr>
                <w:rFonts w:eastAsia="Times New Roman"/>
                <w:i/>
                <w:iCs/>
              </w:rPr>
              <w:lastRenderedPageBreak/>
              <w:t>what tips would you share to someone wanting to repeat what you have done?</w:t>
            </w:r>
          </w:p>
          <w:p w14:paraId="3E348881" w14:textId="3F60B43D" w:rsidR="009B3AD2" w:rsidRPr="009B3AD2" w:rsidRDefault="009B3AD2" w:rsidP="00DB3565">
            <w:pPr>
              <w:rPr>
                <w:i/>
                <w:iCs/>
              </w:rPr>
            </w:pPr>
            <w:r w:rsidRPr="009B3AD2">
              <w:rPr>
                <w:i/>
                <w:iCs/>
              </w:rPr>
              <w:t>If applicable, please include how many people attended (if an event) or engaged (</w:t>
            </w:r>
            <w:proofErr w:type="gramStart"/>
            <w:r w:rsidRPr="009B3AD2">
              <w:rPr>
                <w:i/>
                <w:iCs/>
              </w:rPr>
              <w:t>e.g.</w:t>
            </w:r>
            <w:proofErr w:type="gramEnd"/>
            <w:r w:rsidRPr="009B3AD2">
              <w:rPr>
                <w:i/>
                <w:iCs/>
              </w:rPr>
              <w:t xml:space="preserve"> website clicks) or another appropriate measure for your initiative.</w:t>
            </w:r>
            <w:r>
              <w:rPr>
                <w:i/>
                <w:iCs/>
              </w:rPr>
              <w:t xml:space="preserve"> Did this match expected engagement?</w:t>
            </w:r>
          </w:p>
        </w:tc>
        <w:tc>
          <w:tcPr>
            <w:tcW w:w="4791" w:type="dxa"/>
            <w:shd w:val="clear" w:color="auto" w:fill="auto"/>
          </w:tcPr>
          <w:p w14:paraId="6EF48E9F" w14:textId="17CE873C" w:rsidR="000D1564" w:rsidRDefault="00094D67" w:rsidP="000D1564">
            <w:r>
              <w:lastRenderedPageBreak/>
              <w:t>Collaboration and buy in from senior staff members from the Student Health and wellbeing team (and senior library team) have been crucial in</w:t>
            </w:r>
            <w:r w:rsidR="00EF1430">
              <w:t xml:space="preserve"> the success of this project. </w:t>
            </w:r>
            <w:r w:rsidR="00A073DD">
              <w:t xml:space="preserve">We initially ran it </w:t>
            </w:r>
            <w:r w:rsidR="009B4402">
              <w:t xml:space="preserve">as demonstrable pilot </w:t>
            </w:r>
            <w:r w:rsidR="009B4402">
              <w:lastRenderedPageBreak/>
              <w:t xml:space="preserve">project </w:t>
            </w:r>
            <w:r w:rsidR="00A073DD">
              <w:t xml:space="preserve">and this </w:t>
            </w:r>
            <w:r w:rsidR="009B4402">
              <w:t>also helped</w:t>
            </w:r>
            <w:r w:rsidR="00C051EE">
              <w:t xml:space="preserve"> staff and partners see the merit of it and allowed us a team the space to try new ideas.</w:t>
            </w:r>
            <w:r w:rsidR="009B4402">
              <w:t xml:space="preserve"> </w:t>
            </w:r>
            <w:r w:rsidR="00B91733">
              <w:t xml:space="preserve">Ongoing dialogue and meetings with wellbeing colleagues has also meant that </w:t>
            </w:r>
            <w:r w:rsidR="00525F19">
              <w:t>adaptation and updating of the collection has been possible along the way</w:t>
            </w:r>
            <w:r w:rsidR="00961F1F">
              <w:t>.</w:t>
            </w:r>
          </w:p>
          <w:p w14:paraId="00659116" w14:textId="620D9500" w:rsidR="00C051EE" w:rsidRDefault="00C051EE" w:rsidP="000D1564">
            <w:r>
              <w:t xml:space="preserve">Having a strong identifiable brand has been extremely useful as we have promoted the collection across campus. </w:t>
            </w:r>
            <w:r w:rsidR="009A4593">
              <w:t xml:space="preserve">The inclusion of our collection information </w:t>
            </w:r>
            <w:r w:rsidR="00401FA1">
              <w:t>o</w:t>
            </w:r>
            <w:r w:rsidR="009A4593">
              <w:t>n the University wide app</w:t>
            </w:r>
            <w:r w:rsidR="00401FA1">
              <w:t xml:space="preserve"> has also been ke</w:t>
            </w:r>
            <w:r w:rsidR="00F06045">
              <w:t>y</w:t>
            </w:r>
            <w:r w:rsidR="00401FA1">
              <w:t xml:space="preserve">. This has enabled students to see and access our Be </w:t>
            </w:r>
            <w:proofErr w:type="spellStart"/>
            <w:r w:rsidR="00401FA1">
              <w:t>well@NCL</w:t>
            </w:r>
            <w:proofErr w:type="spellEnd"/>
            <w:r w:rsidR="00401FA1">
              <w:t xml:space="preserve"> collection alongside all the other initiatives and services available to them.</w:t>
            </w:r>
            <w:r w:rsidR="009A4593">
              <w:t xml:space="preserve"> </w:t>
            </w:r>
            <w:r w:rsidR="00F06045">
              <w:t xml:space="preserve"> Creating an interactive reading list and a strong web presence also</w:t>
            </w:r>
            <w:r w:rsidR="0078403D">
              <w:t xml:space="preserve"> helped to make the collection accessible and easily marketable.</w:t>
            </w:r>
            <w:r w:rsidR="002453DD">
              <w:t xml:space="preserve"> In addition, quotes from the books themselves have also served as a good way to promote the collection over social media and plasma screens.</w:t>
            </w:r>
            <w:r w:rsidR="007A23FE">
              <w:t xml:space="preserve"> Tying in these promotions with key strategic university or national wellbeing days / weeks / months ha</w:t>
            </w:r>
            <w:r w:rsidR="00966A53">
              <w:t>s</w:t>
            </w:r>
            <w:r w:rsidR="007A23FE">
              <w:t xml:space="preserve"> also been </w:t>
            </w:r>
            <w:r w:rsidR="00966A53">
              <w:t xml:space="preserve">strategy which has paid dividends. </w:t>
            </w:r>
          </w:p>
        </w:tc>
      </w:tr>
      <w:tr w:rsidR="001E067E" w14:paraId="77467AAB" w14:textId="77777777" w:rsidTr="1950F895">
        <w:tc>
          <w:tcPr>
            <w:tcW w:w="5665" w:type="dxa"/>
            <w:shd w:val="clear" w:color="auto" w:fill="FFF2CC" w:themeFill="accent4" w:themeFillTint="33"/>
          </w:tcPr>
          <w:p w14:paraId="4B85BE67" w14:textId="77777777" w:rsidR="00DB3565" w:rsidRDefault="00DB3565" w:rsidP="00DB3565">
            <w:pPr>
              <w:spacing w:after="0"/>
              <w:rPr>
                <w:rFonts w:eastAsia="Times New Roman"/>
                <w:b/>
              </w:rPr>
            </w:pPr>
            <w:r w:rsidRPr="00DB3565">
              <w:rPr>
                <w:rFonts w:eastAsia="Times New Roman"/>
                <w:b/>
              </w:rPr>
              <w:lastRenderedPageBreak/>
              <w:t>What did not work</w:t>
            </w:r>
          </w:p>
          <w:p w14:paraId="64E65C4B" w14:textId="77777777" w:rsidR="00DC3F75" w:rsidRPr="00DB3565" w:rsidRDefault="00DB3565" w:rsidP="00DB3565">
            <w:pPr>
              <w:rPr>
                <w:i/>
                <w:color w:val="808080"/>
              </w:rPr>
            </w:pPr>
            <w:r>
              <w:rPr>
                <w:rFonts w:eastAsia="Times New Roman"/>
                <w:i/>
                <w:iCs/>
              </w:rPr>
              <w:t xml:space="preserve">What </w:t>
            </w:r>
            <w:proofErr w:type="gramStart"/>
            <w:r>
              <w:rPr>
                <w:rFonts w:eastAsia="Times New Roman"/>
                <w:i/>
                <w:iCs/>
              </w:rPr>
              <w:t>you would</w:t>
            </w:r>
            <w:proofErr w:type="gramEnd"/>
            <w:r>
              <w:rPr>
                <w:rFonts w:eastAsia="Times New Roman"/>
                <w:i/>
                <w:iCs/>
              </w:rPr>
              <w:t xml:space="preserve"> change if you were doing it again? Sharing what did not work can be as useful to help others as what did work.</w:t>
            </w:r>
          </w:p>
        </w:tc>
        <w:tc>
          <w:tcPr>
            <w:tcW w:w="4791" w:type="dxa"/>
            <w:shd w:val="clear" w:color="auto" w:fill="auto"/>
          </w:tcPr>
          <w:p w14:paraId="0FDBB1F1" w14:textId="5FA32C01" w:rsidR="009B4402" w:rsidRDefault="001216AB" w:rsidP="008F6C0F">
            <w:pPr>
              <w:tabs>
                <w:tab w:val="left" w:pos="9698"/>
              </w:tabs>
              <w:spacing w:line="240" w:lineRule="auto"/>
            </w:pPr>
            <w:r>
              <w:t>If we ran this initiative again, we</w:t>
            </w:r>
            <w:r w:rsidR="004577F3">
              <w:t xml:space="preserve"> would </w:t>
            </w:r>
            <w:r w:rsidR="005E0A15">
              <w:t xml:space="preserve">create </w:t>
            </w:r>
            <w:r w:rsidR="001C52BF">
              <w:t>(</w:t>
            </w:r>
            <w:r w:rsidR="005E0A15">
              <w:t xml:space="preserve">from the </w:t>
            </w:r>
            <w:r w:rsidR="004577F3">
              <w:t>start</w:t>
            </w:r>
            <w:r w:rsidR="001C52BF">
              <w:t xml:space="preserve">) </w:t>
            </w:r>
            <w:r w:rsidR="004577F3">
              <w:t xml:space="preserve">a brief collection policy document outlining the scope of the collection, it’s purpose and </w:t>
            </w:r>
            <w:r w:rsidR="00961F1F">
              <w:t>its</w:t>
            </w:r>
            <w:r w:rsidR="004577F3">
              <w:t xml:space="preserve"> maintenance going forward. </w:t>
            </w:r>
            <w:r>
              <w:t xml:space="preserve"> </w:t>
            </w:r>
            <w:r w:rsidR="005E0A15">
              <w:t xml:space="preserve">This would make it clear to all parties involved (and </w:t>
            </w:r>
            <w:r w:rsidR="008A2EF3">
              <w:t xml:space="preserve">to </w:t>
            </w:r>
            <w:r w:rsidR="005E0A15">
              <w:t xml:space="preserve">other potential partners) </w:t>
            </w:r>
            <w:r w:rsidR="00EF1430">
              <w:t xml:space="preserve">what the remit of the collection was. </w:t>
            </w:r>
          </w:p>
          <w:p w14:paraId="746F9225" w14:textId="5170AC50" w:rsidR="008A2EF3" w:rsidRDefault="009B4402" w:rsidP="008F6C0F">
            <w:pPr>
              <w:tabs>
                <w:tab w:val="left" w:pos="9698"/>
              </w:tabs>
              <w:spacing w:line="240" w:lineRule="auto"/>
            </w:pPr>
            <w:r>
              <w:t xml:space="preserve">We would also give ourselves more lead in time from concept development to implementation. </w:t>
            </w:r>
            <w:r w:rsidRPr="00F75359">
              <w:t xml:space="preserve">The original pilot was delivered in less than 6 weeks. </w:t>
            </w:r>
            <w:r w:rsidR="008A2EF3" w:rsidRPr="00F75359">
              <w:t xml:space="preserve">We advise at least 3-6 months lead in time </w:t>
            </w:r>
            <w:proofErr w:type="gramStart"/>
            <w:r w:rsidR="008A2EF3" w:rsidRPr="00F75359">
              <w:t>in order to</w:t>
            </w:r>
            <w:proofErr w:type="gramEnd"/>
            <w:r w:rsidR="008A2EF3" w:rsidRPr="00F75359">
              <w:t xml:space="preserve"> allow more time to establish collection scope and partnership working.</w:t>
            </w:r>
            <w:r w:rsidR="008A2EF3">
              <w:t xml:space="preserve"> </w:t>
            </w:r>
          </w:p>
        </w:tc>
      </w:tr>
      <w:tr w:rsidR="001E067E" w14:paraId="13149A35" w14:textId="77777777" w:rsidTr="1950F895">
        <w:tc>
          <w:tcPr>
            <w:tcW w:w="5665" w:type="dxa"/>
            <w:shd w:val="clear" w:color="auto" w:fill="FFF2CC" w:themeFill="accent4" w:themeFillTint="33"/>
          </w:tcPr>
          <w:p w14:paraId="61CF8E99" w14:textId="3001D02A" w:rsidR="00776157" w:rsidRDefault="00776157" w:rsidP="00776157">
            <w:pPr>
              <w:spacing w:after="0"/>
              <w:rPr>
                <w:rFonts w:eastAsia="Times New Roman"/>
              </w:rPr>
            </w:pPr>
            <w:r>
              <w:rPr>
                <w:rFonts w:eastAsia="Times New Roman"/>
                <w:b/>
              </w:rPr>
              <w:t>Photo</w:t>
            </w:r>
          </w:p>
          <w:p w14:paraId="29966D62" w14:textId="49942C52" w:rsidR="00776157" w:rsidRPr="00DB3565" w:rsidRDefault="00776157" w:rsidP="00776157">
            <w:pPr>
              <w:spacing w:after="0"/>
              <w:rPr>
                <w:rFonts w:eastAsia="Times New Roman"/>
                <w:b/>
              </w:rPr>
            </w:pPr>
            <w:r>
              <w:rPr>
                <w:rFonts w:eastAsia="Times New Roman"/>
                <w:i/>
                <w:iCs/>
              </w:rPr>
              <w:t>Are there any photos you can share that give us a feel for the initiative?</w:t>
            </w:r>
          </w:p>
        </w:tc>
        <w:tc>
          <w:tcPr>
            <w:tcW w:w="4791" w:type="dxa"/>
            <w:shd w:val="clear" w:color="auto" w:fill="auto"/>
          </w:tcPr>
          <w:p w14:paraId="2098D444" w14:textId="77777777" w:rsidR="00776157" w:rsidRDefault="00776157" w:rsidP="00776157">
            <w:pPr>
              <w:tabs>
                <w:tab w:val="left" w:pos="9698"/>
              </w:tabs>
              <w:spacing w:line="240" w:lineRule="auto"/>
            </w:pPr>
          </w:p>
          <w:p w14:paraId="495D2901" w14:textId="77777777" w:rsidR="006F5DA0" w:rsidRDefault="006F5DA0" w:rsidP="00776157">
            <w:pPr>
              <w:tabs>
                <w:tab w:val="left" w:pos="9698"/>
              </w:tabs>
              <w:spacing w:line="240" w:lineRule="auto"/>
            </w:pPr>
            <w:r w:rsidRPr="006F5DA0">
              <w:rPr>
                <w:noProof/>
              </w:rPr>
              <w:drawing>
                <wp:inline distT="0" distB="0" distL="0" distR="0" wp14:anchorId="3F6961B7" wp14:editId="58A98449">
                  <wp:extent cx="3676650" cy="260152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83524" cy="2606392"/>
                          </a:xfrm>
                          <a:prstGeom prst="rect">
                            <a:avLst/>
                          </a:prstGeom>
                        </pic:spPr>
                      </pic:pic>
                    </a:graphicData>
                  </a:graphic>
                </wp:inline>
              </w:drawing>
            </w:r>
          </w:p>
          <w:p w14:paraId="57263751" w14:textId="77777777" w:rsidR="00283503" w:rsidRDefault="00283503" w:rsidP="00776157">
            <w:pPr>
              <w:tabs>
                <w:tab w:val="left" w:pos="9698"/>
              </w:tabs>
              <w:spacing w:line="240" w:lineRule="auto"/>
            </w:pPr>
          </w:p>
          <w:p w14:paraId="1A2DE536" w14:textId="6EF404F5" w:rsidR="002453DD" w:rsidRDefault="002453DD" w:rsidP="00776157">
            <w:pPr>
              <w:tabs>
                <w:tab w:val="left" w:pos="9698"/>
              </w:tabs>
              <w:spacing w:line="240" w:lineRule="auto"/>
            </w:pPr>
            <w:r w:rsidRPr="001E067E">
              <w:rPr>
                <w:noProof/>
              </w:rPr>
              <w:lastRenderedPageBreak/>
              <w:drawing>
                <wp:inline distT="0" distB="0" distL="0" distR="0" wp14:anchorId="02C25693" wp14:editId="7480095C">
                  <wp:extent cx="4095750" cy="3026968"/>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41029" cy="3060431"/>
                          </a:xfrm>
                          <a:prstGeom prst="rect">
                            <a:avLst/>
                          </a:prstGeom>
                        </pic:spPr>
                      </pic:pic>
                    </a:graphicData>
                  </a:graphic>
                </wp:inline>
              </w:drawing>
            </w:r>
            <w:r w:rsidR="00283503" w:rsidRPr="00283503">
              <w:rPr>
                <w:noProof/>
              </w:rPr>
              <w:drawing>
                <wp:inline distT="0" distB="0" distL="0" distR="0" wp14:anchorId="217E5618" wp14:editId="2B21E032">
                  <wp:extent cx="3657600" cy="2505651"/>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71310" cy="2515043"/>
                          </a:xfrm>
                          <a:prstGeom prst="rect">
                            <a:avLst/>
                          </a:prstGeom>
                        </pic:spPr>
                      </pic:pic>
                    </a:graphicData>
                  </a:graphic>
                </wp:inline>
              </w:drawing>
            </w:r>
          </w:p>
          <w:p w14:paraId="226F298F" w14:textId="6212B60D" w:rsidR="002453DD" w:rsidRDefault="002453DD" w:rsidP="00776157">
            <w:pPr>
              <w:tabs>
                <w:tab w:val="left" w:pos="9698"/>
              </w:tabs>
              <w:spacing w:line="240" w:lineRule="auto"/>
            </w:pPr>
            <w:r w:rsidRPr="009A51C6">
              <w:rPr>
                <w:noProof/>
              </w:rPr>
              <w:drawing>
                <wp:inline distT="0" distB="0" distL="0" distR="0" wp14:anchorId="02DEF881" wp14:editId="3EF00FEE">
                  <wp:extent cx="4089400" cy="2306574"/>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15493" cy="2321292"/>
                          </a:xfrm>
                          <a:prstGeom prst="rect">
                            <a:avLst/>
                          </a:prstGeom>
                        </pic:spPr>
                      </pic:pic>
                    </a:graphicData>
                  </a:graphic>
                </wp:inline>
              </w:drawing>
            </w:r>
          </w:p>
          <w:p w14:paraId="4FB2730A" w14:textId="27D2DDD4" w:rsidR="002453DD" w:rsidRDefault="000A0723" w:rsidP="00776157">
            <w:pPr>
              <w:tabs>
                <w:tab w:val="left" w:pos="9698"/>
              </w:tabs>
              <w:spacing w:line="240" w:lineRule="auto"/>
            </w:pPr>
            <w:r w:rsidRPr="009A51C6">
              <w:rPr>
                <w:noProof/>
              </w:rPr>
              <w:lastRenderedPageBreak/>
              <w:drawing>
                <wp:inline distT="0" distB="0" distL="0" distR="0" wp14:anchorId="5F94E754" wp14:editId="6E7B6F22">
                  <wp:extent cx="3949700" cy="2962494"/>
                  <wp:effectExtent l="0" t="0" r="0" b="9525"/>
                  <wp:docPr id="6" name="Picture 6" descr="C:\Users\naa177\AppData\Local\Microsoft\Windows\INetCache\Content.MSO\471C8F06.tmp">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a177\AppData\Local\Microsoft\Windows\INetCache\Content.MSO\471C8F06.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73649" cy="2980457"/>
                          </a:xfrm>
                          <a:prstGeom prst="rect">
                            <a:avLst/>
                          </a:prstGeom>
                          <a:noFill/>
                          <a:ln>
                            <a:noFill/>
                          </a:ln>
                        </pic:spPr>
                      </pic:pic>
                    </a:graphicData>
                  </a:graphic>
                </wp:inline>
              </w:drawing>
            </w:r>
          </w:p>
          <w:p w14:paraId="330C8B69" w14:textId="77777777" w:rsidR="002453DD" w:rsidRDefault="002453DD" w:rsidP="00776157">
            <w:pPr>
              <w:tabs>
                <w:tab w:val="left" w:pos="9698"/>
              </w:tabs>
              <w:spacing w:line="240" w:lineRule="auto"/>
            </w:pPr>
          </w:p>
          <w:p w14:paraId="3CC0D506" w14:textId="02588D24" w:rsidR="002453DD" w:rsidRDefault="002453DD" w:rsidP="00776157">
            <w:pPr>
              <w:tabs>
                <w:tab w:val="left" w:pos="9698"/>
              </w:tabs>
              <w:spacing w:line="240" w:lineRule="auto"/>
            </w:pPr>
          </w:p>
          <w:p w14:paraId="0AEF22BE" w14:textId="0F425BA7" w:rsidR="001E067E" w:rsidRDefault="001E067E" w:rsidP="00776157">
            <w:pPr>
              <w:tabs>
                <w:tab w:val="left" w:pos="9698"/>
              </w:tabs>
              <w:spacing w:line="240" w:lineRule="auto"/>
            </w:pPr>
          </w:p>
        </w:tc>
      </w:tr>
      <w:tr w:rsidR="001E067E" w14:paraId="05ADBAAA" w14:textId="77777777" w:rsidTr="1950F895">
        <w:tc>
          <w:tcPr>
            <w:tcW w:w="5665" w:type="dxa"/>
            <w:shd w:val="clear" w:color="auto" w:fill="FFF2CC" w:themeFill="accent4" w:themeFillTint="33"/>
          </w:tcPr>
          <w:p w14:paraId="501117C5" w14:textId="77777777" w:rsidR="00776157" w:rsidRDefault="00776157" w:rsidP="00776157">
            <w:pPr>
              <w:spacing w:after="0"/>
              <w:rPr>
                <w:rFonts w:eastAsia="Times New Roman"/>
              </w:rPr>
            </w:pPr>
            <w:r w:rsidRPr="00DB3565">
              <w:rPr>
                <w:rFonts w:eastAsia="Times New Roman"/>
                <w:b/>
              </w:rPr>
              <w:lastRenderedPageBreak/>
              <w:t>Resources</w:t>
            </w:r>
          </w:p>
          <w:p w14:paraId="64D3D3BB" w14:textId="3AC9B9BB" w:rsidR="00776157" w:rsidRDefault="00776157" w:rsidP="00776157">
            <w:r>
              <w:rPr>
                <w:rFonts w:eastAsia="Times New Roman"/>
                <w:i/>
                <w:iCs/>
              </w:rPr>
              <w:t>Is there a URL related to the initiative?</w:t>
            </w:r>
          </w:p>
        </w:tc>
        <w:tc>
          <w:tcPr>
            <w:tcW w:w="4791" w:type="dxa"/>
            <w:shd w:val="clear" w:color="auto" w:fill="auto"/>
          </w:tcPr>
          <w:p w14:paraId="2D6E9097" w14:textId="4CA208CD" w:rsidR="00776157" w:rsidRDefault="00F75359" w:rsidP="00776157">
            <w:pPr>
              <w:tabs>
                <w:tab w:val="left" w:pos="9698"/>
              </w:tabs>
              <w:spacing w:line="240" w:lineRule="auto"/>
            </w:pPr>
            <w:hyperlink r:id="rId15" w:history="1">
              <w:r w:rsidR="00453A62" w:rsidRPr="00C55FAB">
                <w:rPr>
                  <w:rStyle w:val="Hyperlink"/>
                </w:rPr>
                <w:t>https://www.ncl.ac.uk/library/resources-and-study-support/be-wellncl/</w:t>
              </w:r>
            </w:hyperlink>
            <w:r w:rsidR="00453A62">
              <w:t xml:space="preserve"> </w:t>
            </w:r>
          </w:p>
        </w:tc>
      </w:tr>
      <w:tr w:rsidR="00776157" w14:paraId="1FDF9808" w14:textId="77777777" w:rsidTr="1950F895">
        <w:tc>
          <w:tcPr>
            <w:tcW w:w="10456" w:type="dxa"/>
            <w:gridSpan w:val="2"/>
            <w:shd w:val="clear" w:color="auto" w:fill="auto"/>
          </w:tcPr>
          <w:p w14:paraId="74DEBC02" w14:textId="00E4E2D8" w:rsidR="00776157" w:rsidRPr="00DB3565" w:rsidRDefault="00776157" w:rsidP="00776157">
            <w:pPr>
              <w:tabs>
                <w:tab w:val="left" w:pos="9698"/>
              </w:tabs>
              <w:spacing w:line="240" w:lineRule="auto"/>
              <w:rPr>
                <w:b/>
              </w:rPr>
            </w:pPr>
            <w:r w:rsidRPr="00DB3565">
              <w:rPr>
                <w:b/>
              </w:rPr>
              <w:t>Your name, institution and contact details.</w:t>
            </w:r>
            <w:r>
              <w:rPr>
                <w:b/>
              </w:rPr>
              <w:t xml:space="preserve"> </w:t>
            </w:r>
            <w:r w:rsidR="00763F7A">
              <w:rPr>
                <w:b/>
              </w:rPr>
              <w:t xml:space="preserve">Anne Archer, Newcastle University, </w:t>
            </w:r>
            <w:hyperlink r:id="rId16" w:history="1">
              <w:r w:rsidR="00763F7A" w:rsidRPr="00C55FAB">
                <w:rPr>
                  <w:rStyle w:val="Hyperlink"/>
                  <w:b/>
                </w:rPr>
                <w:t>anne.archer@ncl.ac.uk</w:t>
              </w:r>
            </w:hyperlink>
          </w:p>
        </w:tc>
      </w:tr>
      <w:tr w:rsidR="00776157" w14:paraId="1FE1CFB5" w14:textId="77777777" w:rsidTr="1950F895">
        <w:trPr>
          <w:trHeight w:val="596"/>
        </w:trPr>
        <w:tc>
          <w:tcPr>
            <w:tcW w:w="10456" w:type="dxa"/>
            <w:gridSpan w:val="2"/>
            <w:shd w:val="clear" w:color="auto" w:fill="auto"/>
          </w:tcPr>
          <w:p w14:paraId="04933EED" w14:textId="391BF724" w:rsidR="00776157" w:rsidRPr="00131E5C" w:rsidRDefault="00776157" w:rsidP="00776157">
            <w:pPr>
              <w:tabs>
                <w:tab w:val="left" w:pos="9698"/>
              </w:tabs>
              <w:spacing w:line="240" w:lineRule="auto"/>
              <w:rPr>
                <w:rFonts w:eastAsia="Times New Roman"/>
                <w:b/>
              </w:rPr>
            </w:pPr>
            <w:r w:rsidRPr="00DB3565">
              <w:rPr>
                <w:rFonts w:eastAsia="Times New Roman"/>
                <w:b/>
              </w:rPr>
              <w:t xml:space="preserve">Are you willing to share your contact details to other ALN staff so if they want to find out </w:t>
            </w:r>
            <w:proofErr w:type="gramStart"/>
            <w:r w:rsidRPr="00DB3565">
              <w:rPr>
                <w:rFonts w:eastAsia="Times New Roman"/>
                <w:b/>
              </w:rPr>
              <w:t>more</w:t>
            </w:r>
            <w:proofErr w:type="gramEnd"/>
            <w:r w:rsidRPr="00DB3565">
              <w:rPr>
                <w:rFonts w:eastAsia="Times New Roman"/>
                <w:b/>
              </w:rPr>
              <w:t xml:space="preserve"> they can contact you directly?</w:t>
            </w:r>
            <w:r w:rsidR="00AA55F5">
              <w:rPr>
                <w:rFonts w:eastAsia="Times New Roman"/>
                <w:b/>
              </w:rPr>
              <w:t xml:space="preserve"> Yes</w:t>
            </w:r>
          </w:p>
        </w:tc>
      </w:tr>
    </w:tbl>
    <w:p w14:paraId="34EA22C7" w14:textId="77777777" w:rsidR="00DC3F75" w:rsidRDefault="00DC3F75" w:rsidP="009B3AD2">
      <w:pPr>
        <w:spacing w:after="0"/>
      </w:pPr>
    </w:p>
    <w:sectPr w:rsidR="00DC3F75" w:rsidSect="00BE3B5B">
      <w:footerReference w:type="default" r:id="rId1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687D2" w14:textId="77777777" w:rsidR="00863481" w:rsidRDefault="00863481" w:rsidP="00C5220F">
      <w:pPr>
        <w:spacing w:after="0" w:line="240" w:lineRule="auto"/>
      </w:pPr>
      <w:r>
        <w:separator/>
      </w:r>
    </w:p>
  </w:endnote>
  <w:endnote w:type="continuationSeparator" w:id="0">
    <w:p w14:paraId="24663E1B" w14:textId="77777777" w:rsidR="00863481" w:rsidRDefault="00863481" w:rsidP="00C52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FACC7" w14:textId="144AECB6" w:rsidR="0006061C" w:rsidRPr="004978FC" w:rsidRDefault="004978FC" w:rsidP="004978FC">
    <w:pPr>
      <w:pStyle w:val="Footer"/>
      <w:jc w:val="right"/>
      <w:rPr>
        <w:sz w:val="16"/>
        <w:szCs w:val="16"/>
      </w:rPr>
    </w:pPr>
    <w:r>
      <w:br/>
    </w:r>
    <w:r w:rsidR="00776157">
      <w:rPr>
        <w:sz w:val="16"/>
        <w:szCs w:val="16"/>
      </w:rPr>
      <w:t>Version</w:t>
    </w:r>
    <w:r w:rsidR="004D33C6">
      <w:rPr>
        <w:sz w:val="16"/>
        <w:szCs w:val="16"/>
      </w:rPr>
      <w:t xml:space="preserve"> 0</w:t>
    </w:r>
    <w:r w:rsidR="009B3AD2">
      <w:rPr>
        <w:sz w:val="16"/>
        <w:szCs w:val="16"/>
      </w:rPr>
      <w:t>4</w:t>
    </w:r>
    <w:r w:rsidR="00776157">
      <w:rPr>
        <w:sz w:val="16"/>
        <w:szCs w:val="16"/>
      </w:rPr>
      <w:t xml:space="preserve"> </w:t>
    </w:r>
    <w:r w:rsidR="009B3AD2">
      <w:rPr>
        <w:sz w:val="16"/>
        <w:szCs w:val="16"/>
      </w:rPr>
      <w:t>3 Mar</w:t>
    </w:r>
    <w:r w:rsidR="00AF52F2">
      <w:rPr>
        <w:sz w:val="16"/>
        <w:szCs w:val="16"/>
      </w:rPr>
      <w:t xml:space="preserve"> </w:t>
    </w:r>
    <w:r w:rsidR="00E36694">
      <w:rPr>
        <w:sz w:val="16"/>
        <w:szCs w:val="16"/>
      </w:rPr>
      <w:t>202</w:t>
    </w:r>
    <w:r w:rsidR="00AF52F2">
      <w:rPr>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BBC66" w14:textId="77777777" w:rsidR="00863481" w:rsidRDefault="00863481" w:rsidP="00C5220F">
      <w:pPr>
        <w:spacing w:after="0" w:line="240" w:lineRule="auto"/>
      </w:pPr>
      <w:r>
        <w:separator/>
      </w:r>
    </w:p>
  </w:footnote>
  <w:footnote w:type="continuationSeparator" w:id="0">
    <w:p w14:paraId="24B153C9" w14:textId="77777777" w:rsidR="00863481" w:rsidRDefault="00863481" w:rsidP="00C522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D0F64"/>
    <w:multiLevelType w:val="multilevel"/>
    <w:tmpl w:val="5ED6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7A252F"/>
    <w:multiLevelType w:val="hybridMultilevel"/>
    <w:tmpl w:val="E22E879C"/>
    <w:lvl w:ilvl="0" w:tplc="E022FA2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283C74"/>
    <w:multiLevelType w:val="multilevel"/>
    <w:tmpl w:val="E6503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1F0201"/>
    <w:multiLevelType w:val="multilevel"/>
    <w:tmpl w:val="2A241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13396F"/>
    <w:multiLevelType w:val="hybridMultilevel"/>
    <w:tmpl w:val="37AC0C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875EC0"/>
    <w:multiLevelType w:val="multilevel"/>
    <w:tmpl w:val="4AB463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3F2972"/>
    <w:multiLevelType w:val="hybridMultilevel"/>
    <w:tmpl w:val="6A1AE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5"/>
  </w:num>
  <w:num w:numId="5">
    <w:abstractNumId w:val="5"/>
  </w:num>
  <w:num w:numId="6">
    <w:abstractNumId w:val="5"/>
  </w:num>
  <w:num w:numId="7">
    <w:abstractNumId w:val="0"/>
  </w:num>
  <w:num w:numId="8">
    <w:abstractNumId w:val="2"/>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2BB"/>
    <w:rsid w:val="00022243"/>
    <w:rsid w:val="000473E0"/>
    <w:rsid w:val="00054D09"/>
    <w:rsid w:val="0006061C"/>
    <w:rsid w:val="00066B3B"/>
    <w:rsid w:val="00094D67"/>
    <w:rsid w:val="0009695F"/>
    <w:rsid w:val="000A0723"/>
    <w:rsid w:val="000B504B"/>
    <w:rsid w:val="000C3467"/>
    <w:rsid w:val="000D1564"/>
    <w:rsid w:val="000D5633"/>
    <w:rsid w:val="000D5FE1"/>
    <w:rsid w:val="00114301"/>
    <w:rsid w:val="001216AB"/>
    <w:rsid w:val="00131E5C"/>
    <w:rsid w:val="001437BB"/>
    <w:rsid w:val="0014774D"/>
    <w:rsid w:val="001526FD"/>
    <w:rsid w:val="00195B6C"/>
    <w:rsid w:val="001B52EB"/>
    <w:rsid w:val="001B6732"/>
    <w:rsid w:val="001C52BF"/>
    <w:rsid w:val="001E067E"/>
    <w:rsid w:val="001E60F0"/>
    <w:rsid w:val="00224C1E"/>
    <w:rsid w:val="00226F37"/>
    <w:rsid w:val="002453DD"/>
    <w:rsid w:val="002519EE"/>
    <w:rsid w:val="00267DDD"/>
    <w:rsid w:val="00283503"/>
    <w:rsid w:val="002B4D38"/>
    <w:rsid w:val="002E05DA"/>
    <w:rsid w:val="002E6F2B"/>
    <w:rsid w:val="0033136E"/>
    <w:rsid w:val="003442B4"/>
    <w:rsid w:val="003623EC"/>
    <w:rsid w:val="0037406D"/>
    <w:rsid w:val="003A7089"/>
    <w:rsid w:val="003C3CE7"/>
    <w:rsid w:val="003E2E0A"/>
    <w:rsid w:val="00401FA1"/>
    <w:rsid w:val="00420BD8"/>
    <w:rsid w:val="00435461"/>
    <w:rsid w:val="00453A62"/>
    <w:rsid w:val="004577F3"/>
    <w:rsid w:val="00495CFA"/>
    <w:rsid w:val="004978FC"/>
    <w:rsid w:val="004A7CF8"/>
    <w:rsid w:val="004D33C6"/>
    <w:rsid w:val="004E5850"/>
    <w:rsid w:val="00505B2A"/>
    <w:rsid w:val="005108BF"/>
    <w:rsid w:val="00525F19"/>
    <w:rsid w:val="0053231F"/>
    <w:rsid w:val="0057464C"/>
    <w:rsid w:val="005A123F"/>
    <w:rsid w:val="005E0A15"/>
    <w:rsid w:val="005E0E4A"/>
    <w:rsid w:val="005F64DB"/>
    <w:rsid w:val="00621CDC"/>
    <w:rsid w:val="00625990"/>
    <w:rsid w:val="00630262"/>
    <w:rsid w:val="00665A09"/>
    <w:rsid w:val="00671E62"/>
    <w:rsid w:val="006E0EE6"/>
    <w:rsid w:val="006F4A29"/>
    <w:rsid w:val="006F5DA0"/>
    <w:rsid w:val="00737C8E"/>
    <w:rsid w:val="007518DC"/>
    <w:rsid w:val="00763F7A"/>
    <w:rsid w:val="00776157"/>
    <w:rsid w:val="0078403D"/>
    <w:rsid w:val="007A23FE"/>
    <w:rsid w:val="007C2F19"/>
    <w:rsid w:val="007D2841"/>
    <w:rsid w:val="007F6345"/>
    <w:rsid w:val="007F793D"/>
    <w:rsid w:val="008259FA"/>
    <w:rsid w:val="008278BE"/>
    <w:rsid w:val="00833EC4"/>
    <w:rsid w:val="00863481"/>
    <w:rsid w:val="008A2EF3"/>
    <w:rsid w:val="008A4351"/>
    <w:rsid w:val="008E78DC"/>
    <w:rsid w:val="008F6C0F"/>
    <w:rsid w:val="00900338"/>
    <w:rsid w:val="009475BB"/>
    <w:rsid w:val="00961F1F"/>
    <w:rsid w:val="00966A53"/>
    <w:rsid w:val="00971A79"/>
    <w:rsid w:val="009866C8"/>
    <w:rsid w:val="009A4593"/>
    <w:rsid w:val="009A6391"/>
    <w:rsid w:val="009B3AD2"/>
    <w:rsid w:val="009B4402"/>
    <w:rsid w:val="009D2401"/>
    <w:rsid w:val="00A073DD"/>
    <w:rsid w:val="00A41761"/>
    <w:rsid w:val="00A943D9"/>
    <w:rsid w:val="00AA55F5"/>
    <w:rsid w:val="00AB2C64"/>
    <w:rsid w:val="00AB45C2"/>
    <w:rsid w:val="00AD1B55"/>
    <w:rsid w:val="00AF52F2"/>
    <w:rsid w:val="00B56415"/>
    <w:rsid w:val="00B91733"/>
    <w:rsid w:val="00BB1EFC"/>
    <w:rsid w:val="00BE3B5B"/>
    <w:rsid w:val="00C051EE"/>
    <w:rsid w:val="00C112BB"/>
    <w:rsid w:val="00C20D62"/>
    <w:rsid w:val="00C5220F"/>
    <w:rsid w:val="00C73EA9"/>
    <w:rsid w:val="00C750C5"/>
    <w:rsid w:val="00C86A63"/>
    <w:rsid w:val="00CA0E55"/>
    <w:rsid w:val="00CB2264"/>
    <w:rsid w:val="00CC2209"/>
    <w:rsid w:val="00CF581B"/>
    <w:rsid w:val="00D13191"/>
    <w:rsid w:val="00D23DDB"/>
    <w:rsid w:val="00D42FFA"/>
    <w:rsid w:val="00D75033"/>
    <w:rsid w:val="00DB3565"/>
    <w:rsid w:val="00DC3F75"/>
    <w:rsid w:val="00E03844"/>
    <w:rsid w:val="00E14F75"/>
    <w:rsid w:val="00E36694"/>
    <w:rsid w:val="00E43565"/>
    <w:rsid w:val="00E75F39"/>
    <w:rsid w:val="00EB6C06"/>
    <w:rsid w:val="00EC77A8"/>
    <w:rsid w:val="00EE5534"/>
    <w:rsid w:val="00EF1430"/>
    <w:rsid w:val="00F04D8C"/>
    <w:rsid w:val="00F06045"/>
    <w:rsid w:val="00F3273E"/>
    <w:rsid w:val="00F63298"/>
    <w:rsid w:val="00F75359"/>
    <w:rsid w:val="00F7759E"/>
    <w:rsid w:val="00F8496D"/>
    <w:rsid w:val="00FB520A"/>
    <w:rsid w:val="00FC7514"/>
    <w:rsid w:val="00FE2AFA"/>
    <w:rsid w:val="073CB739"/>
    <w:rsid w:val="1950F895"/>
    <w:rsid w:val="4F3034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04E8C"/>
  <w15:chartTrackingRefBased/>
  <w15:docId w15:val="{A39FD130-06EA-478F-A044-5E054288E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2BB"/>
    <w:pPr>
      <w:spacing w:after="200" w:line="276" w:lineRule="auto"/>
    </w:pPr>
    <w:rPr>
      <w:rFonts w:eastAsia="SimSun"/>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12BB"/>
    <w:pPr>
      <w:spacing w:after="0" w:line="240" w:lineRule="auto"/>
      <w:ind w:left="720"/>
    </w:pPr>
  </w:style>
  <w:style w:type="character" w:styleId="Hyperlink">
    <w:name w:val="Hyperlink"/>
    <w:uiPriority w:val="99"/>
    <w:unhideWhenUsed/>
    <w:rsid w:val="00C112BB"/>
    <w:rPr>
      <w:color w:val="0000FF"/>
      <w:u w:val="single"/>
    </w:rPr>
  </w:style>
  <w:style w:type="paragraph" w:styleId="Header">
    <w:name w:val="header"/>
    <w:basedOn w:val="Normal"/>
    <w:link w:val="HeaderChar"/>
    <w:uiPriority w:val="99"/>
    <w:unhideWhenUsed/>
    <w:rsid w:val="00C5220F"/>
    <w:pPr>
      <w:tabs>
        <w:tab w:val="center" w:pos="4513"/>
        <w:tab w:val="right" w:pos="9026"/>
      </w:tabs>
      <w:spacing w:after="0" w:line="240" w:lineRule="auto"/>
    </w:pPr>
  </w:style>
  <w:style w:type="character" w:customStyle="1" w:styleId="HeaderChar">
    <w:name w:val="Header Char"/>
    <w:link w:val="Header"/>
    <w:uiPriority w:val="99"/>
    <w:rsid w:val="00C5220F"/>
    <w:rPr>
      <w:rFonts w:ascii="Calibri" w:eastAsia="SimSun" w:hAnsi="Calibri" w:cs="Arial"/>
      <w:lang w:val="en-GB" w:eastAsia="zh-CN"/>
    </w:rPr>
  </w:style>
  <w:style w:type="paragraph" w:styleId="Footer">
    <w:name w:val="footer"/>
    <w:basedOn w:val="Normal"/>
    <w:link w:val="FooterChar"/>
    <w:uiPriority w:val="99"/>
    <w:unhideWhenUsed/>
    <w:rsid w:val="00C5220F"/>
    <w:pPr>
      <w:tabs>
        <w:tab w:val="center" w:pos="4513"/>
        <w:tab w:val="right" w:pos="9026"/>
      </w:tabs>
      <w:spacing w:after="0" w:line="240" w:lineRule="auto"/>
    </w:pPr>
  </w:style>
  <w:style w:type="character" w:customStyle="1" w:styleId="FooterChar">
    <w:name w:val="Footer Char"/>
    <w:link w:val="Footer"/>
    <w:uiPriority w:val="99"/>
    <w:rsid w:val="00C5220F"/>
    <w:rPr>
      <w:rFonts w:ascii="Calibri" w:eastAsia="SimSun" w:hAnsi="Calibri" w:cs="Arial"/>
      <w:lang w:val="en-GB" w:eastAsia="zh-CN"/>
    </w:rPr>
  </w:style>
  <w:style w:type="paragraph" w:styleId="BalloonText">
    <w:name w:val="Balloon Text"/>
    <w:basedOn w:val="Normal"/>
    <w:link w:val="BalloonTextChar"/>
    <w:uiPriority w:val="99"/>
    <w:semiHidden/>
    <w:unhideWhenUsed/>
    <w:rsid w:val="00C522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5220F"/>
    <w:rPr>
      <w:rFonts w:ascii="Tahoma" w:eastAsia="SimSun" w:hAnsi="Tahoma" w:cs="Tahoma"/>
      <w:sz w:val="16"/>
      <w:szCs w:val="16"/>
      <w:lang w:val="en-GB" w:eastAsia="zh-CN"/>
    </w:rPr>
  </w:style>
  <w:style w:type="table" w:styleId="TableGrid">
    <w:name w:val="Table Grid"/>
    <w:basedOn w:val="TableNormal"/>
    <w:uiPriority w:val="59"/>
    <w:rsid w:val="00DC3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8278BE"/>
    <w:rPr>
      <w:color w:val="605E5C"/>
      <w:shd w:val="clear" w:color="auto" w:fill="E1DFDD"/>
    </w:rPr>
  </w:style>
  <w:style w:type="character" w:styleId="FollowedHyperlink">
    <w:name w:val="FollowedHyperlink"/>
    <w:uiPriority w:val="99"/>
    <w:semiHidden/>
    <w:unhideWhenUsed/>
    <w:rsid w:val="008278BE"/>
    <w:rPr>
      <w:color w:val="954F72"/>
      <w:u w:val="single"/>
    </w:rPr>
  </w:style>
  <w:style w:type="paragraph" w:styleId="NormalWeb">
    <w:name w:val="Normal (Web)"/>
    <w:basedOn w:val="Normal"/>
    <w:uiPriority w:val="99"/>
    <w:semiHidden/>
    <w:unhideWhenUsed/>
    <w:rsid w:val="00D23DD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602962">
      <w:bodyDiv w:val="1"/>
      <w:marLeft w:val="0"/>
      <w:marRight w:val="0"/>
      <w:marTop w:val="0"/>
      <w:marBottom w:val="0"/>
      <w:divBdr>
        <w:top w:val="none" w:sz="0" w:space="0" w:color="auto"/>
        <w:left w:val="none" w:sz="0" w:space="0" w:color="auto"/>
        <w:bottom w:val="none" w:sz="0" w:space="0" w:color="auto"/>
        <w:right w:val="none" w:sz="0" w:space="0" w:color="auto"/>
      </w:divBdr>
    </w:div>
    <w:div w:id="208741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u-prod.asyncgw.teams.microsoft.com/v1/objects/0-neu-d2-2d0cf4802effc32797305c8d0f7be7c2/views/imgo"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anne.archer@ncl.ac.uk"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ncl.ac.uk/library/resources-and-study-support/be-wellncl/"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01A2990B46F06438FCE6E4D0761F9CA" ma:contentTypeVersion="10" ma:contentTypeDescription="Create a new document." ma:contentTypeScope="" ma:versionID="0137c700ab8b5708a72ba27b94961803">
  <xsd:schema xmlns:xsd="http://www.w3.org/2001/XMLSchema" xmlns:xs="http://www.w3.org/2001/XMLSchema" xmlns:p="http://schemas.microsoft.com/office/2006/metadata/properties" xmlns:ns2="c3b644a0-1107-4ac2-90e2-49e3b811d09f" targetNamespace="http://schemas.microsoft.com/office/2006/metadata/properties" ma:root="true" ma:fieldsID="d2a7c31a4d3d81558edb4088aa83cf82" ns2:_="">
    <xsd:import namespace="c3b644a0-1107-4ac2-90e2-49e3b811d0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b644a0-1107-4ac2-90e2-49e3b811d0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578AAD-E71E-40A7-9BEF-E6681B100F36}">
  <ds:schemaRefs>
    <ds:schemaRef ds:uri="http://schemas.openxmlformats.org/officeDocument/2006/bibliography"/>
  </ds:schemaRefs>
</ds:datastoreItem>
</file>

<file path=customXml/itemProps2.xml><?xml version="1.0" encoding="utf-8"?>
<ds:datastoreItem xmlns:ds="http://schemas.openxmlformats.org/officeDocument/2006/customXml" ds:itemID="{DD7ED153-44CF-4856-84FA-7CC7F092C478}"/>
</file>

<file path=customXml/itemProps3.xml><?xml version="1.0" encoding="utf-8"?>
<ds:datastoreItem xmlns:ds="http://schemas.openxmlformats.org/officeDocument/2006/customXml" ds:itemID="{A6DFA540-FF07-4902-9538-E5C439863D51}"/>
</file>

<file path=customXml/itemProps4.xml><?xml version="1.0" encoding="utf-8"?>
<ds:datastoreItem xmlns:ds="http://schemas.openxmlformats.org/officeDocument/2006/customXml" ds:itemID="{59CE8577-0135-428C-A636-7370A3E21D70}"/>
</file>

<file path=docProps/app.xml><?xml version="1.0" encoding="utf-8"?>
<Properties xmlns="http://schemas.openxmlformats.org/officeDocument/2006/extended-properties" xmlns:vt="http://schemas.openxmlformats.org/officeDocument/2006/docPropsVTypes">
  <Template>Normal</Template>
  <TotalTime>2</TotalTime>
  <Pages>4</Pages>
  <Words>869</Words>
  <Characters>4958</Characters>
  <Application>Microsoft Office Word</Application>
  <DocSecurity>4</DocSecurity>
  <Lines>41</Lines>
  <Paragraphs>11</Paragraphs>
  <ScaleCrop>false</ScaleCrop>
  <Company>Edge Hill University</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 &amp; AC</dc:creator>
  <cp:keywords/>
  <cp:lastModifiedBy>Anne Archer</cp:lastModifiedBy>
  <cp:revision>2</cp:revision>
  <cp:lastPrinted>2020-10-14T11:30:00Z</cp:lastPrinted>
  <dcterms:created xsi:type="dcterms:W3CDTF">2022-03-29T08:02:00Z</dcterms:created>
  <dcterms:modified xsi:type="dcterms:W3CDTF">2022-03-29T08:02:00Z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0x010100F01A2990B46F06438FCE6E4D0761F9CA</vt:lpwstr>
  </property>
</Properties>
</file>