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294E0920" w:rsidR="000B504B" w:rsidRDefault="00601AA0" w:rsidP="008F6C0F">
            <w:pPr>
              <w:tabs>
                <w:tab w:val="left" w:pos="9698"/>
              </w:tabs>
              <w:spacing w:line="240" w:lineRule="auto"/>
            </w:pPr>
            <w:r>
              <w:t>Leisure Reading Collection (And now a designated wellbeing collection)</w:t>
            </w:r>
          </w:p>
        </w:tc>
      </w:tr>
      <w:tr w:rsidR="00DC3F75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670C0767" w:rsidR="00DC3F75" w:rsidRDefault="00601AA0" w:rsidP="008F6C0F">
            <w:pPr>
              <w:tabs>
                <w:tab w:val="left" w:pos="9698"/>
              </w:tabs>
              <w:spacing w:line="240" w:lineRule="auto"/>
            </w:pPr>
            <w:r>
              <w:t>This was mainly aimed at students, but our staff are also big fans of the collection</w:t>
            </w:r>
          </w:p>
        </w:tc>
      </w:tr>
      <w:tr w:rsidR="00DC3F75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4321E475" w:rsidR="00054D09" w:rsidRDefault="00601AA0" w:rsidP="008F6C0F">
            <w:pPr>
              <w:spacing w:after="0" w:line="240" w:lineRule="auto"/>
            </w:pPr>
            <w:r>
              <w:t>In 2017 Salford launched its Leisure Reading Collection, started up with a £5000 fund for non-academic reading titles. We have subsequently spent approximately £1000 a year building up this collection, including as many wellbeing titles as possible. This includes books on prescription as well as self-help and fiction titles. We now have sufficient stock that we have been able to create a standalone Wellbeing Collection, that is located in our brand new Wellness Room in the library.</w:t>
            </w:r>
          </w:p>
        </w:tc>
      </w:tr>
      <w:tr w:rsidR="00DC3F75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 xml:space="preserve">Was this solely run by the library or were other stakeholders involved, and if </w:t>
            </w:r>
            <w:proofErr w:type="gramStart"/>
            <w:r>
              <w:rPr>
                <w:rFonts w:eastAsia="Times New Roman"/>
                <w:i/>
                <w:iCs/>
              </w:rPr>
              <w:t>so</w:t>
            </w:r>
            <w:proofErr w:type="gramEnd"/>
            <w:r>
              <w:rPr>
                <w:rFonts w:eastAsia="Times New Roman"/>
                <w:i/>
                <w:iCs/>
              </w:rPr>
              <w:t xml:space="preserve">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1E85037F" w:rsidR="00DC3F75" w:rsidRDefault="00601AA0" w:rsidP="008F6C0F">
            <w:pPr>
              <w:tabs>
                <w:tab w:val="left" w:pos="9698"/>
              </w:tabs>
              <w:spacing w:line="240" w:lineRule="auto"/>
            </w:pPr>
            <w:r>
              <w:t>This was solely run by the library, but we do take both staff and student requests on what titles to add to the collection.</w:t>
            </w:r>
          </w:p>
        </w:tc>
      </w:tr>
      <w:tr w:rsidR="00AF52F2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792DF7B8" w:rsidR="00AF52F2" w:rsidRDefault="00601AA0" w:rsidP="008F6C0F">
            <w:pPr>
              <w:tabs>
                <w:tab w:val="left" w:pos="9698"/>
              </w:tabs>
              <w:spacing w:line="240" w:lineRule="auto"/>
            </w:pPr>
            <w:r>
              <w:t xml:space="preserve">As well as aiding wellbeing, this was also done to try and encourage more students to read. Many studies point to more reading &amp; library usage leading to higher </w:t>
            </w:r>
            <w:r w:rsidR="00E609A6">
              <w:t>attainment</w:t>
            </w:r>
            <w:r>
              <w:t>.</w:t>
            </w:r>
          </w:p>
        </w:tc>
      </w:tr>
      <w:tr w:rsidR="00DC3F75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37314038" w:rsidR="00DC3F75" w:rsidRDefault="00601AA0" w:rsidP="008F6C0F">
            <w:pPr>
              <w:tabs>
                <w:tab w:val="left" w:pos="9698"/>
              </w:tabs>
              <w:spacing w:line="240" w:lineRule="auto"/>
            </w:pPr>
            <w:r>
              <w:t>Usage of the collection has been high, and we also continue to receive a large number of staff and student book requests for this collection</w:t>
            </w:r>
          </w:p>
        </w:tc>
      </w:tr>
      <w:tr w:rsidR="000D1564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</w:t>
            </w:r>
            <w:proofErr w:type="gramStart"/>
            <w:r w:rsidRPr="009B3AD2">
              <w:rPr>
                <w:i/>
                <w:iCs/>
              </w:rPr>
              <w:t>e.g.</w:t>
            </w:r>
            <w:proofErr w:type="gramEnd"/>
            <w:r w:rsidRPr="009B3AD2">
              <w:rPr>
                <w:i/>
                <w:iCs/>
              </w:rPr>
              <w:t xml:space="preserve">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12E010EE" w14:textId="77777777" w:rsidR="000D1564" w:rsidRDefault="00601AA0" w:rsidP="000D1564">
            <w:r>
              <w:t>Having buy-in from managers was essential, as the initial setup required significant time away from everyday duties for a number of staff members.</w:t>
            </w:r>
          </w:p>
          <w:p w14:paraId="46960E82" w14:textId="77777777" w:rsidR="00601AA0" w:rsidRDefault="00601AA0" w:rsidP="000D1564">
            <w:r>
              <w:t>Having a designated fund also mean that every small purchase didn’t need to be approved by different people.</w:t>
            </w:r>
          </w:p>
          <w:p w14:paraId="00659116" w14:textId="3FEEC8B1" w:rsidR="00601AA0" w:rsidRDefault="00601AA0" w:rsidP="000D1564"/>
        </w:tc>
      </w:tr>
      <w:tr w:rsidR="00DC3F75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1B20231A" w14:textId="77777777" w:rsidR="00DC3F75" w:rsidRDefault="00601AA0" w:rsidP="008F6C0F">
            <w:pPr>
              <w:tabs>
                <w:tab w:val="left" w:pos="9698"/>
              </w:tabs>
              <w:spacing w:line="240" w:lineRule="auto"/>
            </w:pPr>
            <w:r>
              <w:t>Using non-collections staff to help with some acquisitions processes actually stalled the progress significantly, so I would suggest using acquisitions staff for any ordering/receipting wherever possible.</w:t>
            </w:r>
          </w:p>
          <w:p w14:paraId="746F9225" w14:textId="603A334C" w:rsidR="00601AA0" w:rsidRDefault="00601AA0" w:rsidP="008F6C0F">
            <w:pPr>
              <w:tabs>
                <w:tab w:val="left" w:pos="9698"/>
              </w:tabs>
              <w:spacing w:line="240" w:lineRule="auto"/>
            </w:pPr>
            <w:r>
              <w:t xml:space="preserve">We originally had a lot more people on the project team, and everybody wanted to recommend titles. </w:t>
            </w:r>
            <w:r>
              <w:lastRenderedPageBreak/>
              <w:t>Keeping the pool of staff picking/ordering small would help with this.</w:t>
            </w:r>
          </w:p>
        </w:tc>
      </w:tr>
      <w:tr w:rsidR="00776157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lastRenderedPageBreak/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42178252" w:rsidR="00776157" w:rsidRDefault="00601AA0" w:rsidP="00776157">
            <w:pPr>
              <w:tabs>
                <w:tab w:val="left" w:pos="9698"/>
              </w:tabs>
              <w:spacing w:line="240" w:lineRule="auto"/>
            </w:pPr>
            <w:r>
              <w:t>Photos of the collection &amp; wellness space included below.</w:t>
            </w:r>
          </w:p>
        </w:tc>
      </w:tr>
      <w:tr w:rsidR="00776157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7BFBC3F2" w:rsidR="00776157" w:rsidRDefault="00D23CB1" w:rsidP="00776157">
            <w:pPr>
              <w:tabs>
                <w:tab w:val="left" w:pos="9698"/>
              </w:tabs>
              <w:spacing w:line="240" w:lineRule="auto"/>
            </w:pPr>
            <w:hyperlink r:id="rId9" w:history="1">
              <w:r w:rsidR="00601AA0" w:rsidRPr="00601AA0">
                <w:rPr>
                  <w:rStyle w:val="Hyperlink"/>
                </w:rPr>
                <w:t>Leisure Collection</w:t>
              </w:r>
            </w:hyperlink>
            <w:r w:rsidR="00601AA0">
              <w:t xml:space="preserve">, </w:t>
            </w:r>
            <w:hyperlink r:id="rId10" w:history="1">
              <w:r w:rsidR="00601AA0" w:rsidRPr="00601AA0">
                <w:rPr>
                  <w:rStyle w:val="Hyperlink"/>
                </w:rPr>
                <w:t>Wellbeing Collection</w:t>
              </w:r>
            </w:hyperlink>
            <w:r w:rsidR="00601AA0">
              <w:t xml:space="preserve">, </w:t>
            </w:r>
            <w:hyperlink r:id="rId11" w:history="1">
              <w:r w:rsidR="00601AA0" w:rsidRPr="00601AA0">
                <w:rPr>
                  <w:rStyle w:val="Hyperlink"/>
                </w:rPr>
                <w:t>Article about Project</w:t>
              </w:r>
            </w:hyperlink>
            <w:r w:rsidR="00601AA0">
              <w:t xml:space="preserve"> / (</w:t>
            </w:r>
            <w:hyperlink r:id="rId12" w:history="1">
              <w:r w:rsidR="00601AA0" w:rsidRPr="00601AA0">
                <w:rPr>
                  <w:rStyle w:val="Hyperlink"/>
                </w:rPr>
                <w:t>on repository</w:t>
              </w:r>
            </w:hyperlink>
            <w:r w:rsidR="00601AA0">
              <w:t>)</w:t>
            </w: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74DEBC02" w14:textId="74198B1F" w:rsidR="00776157" w:rsidRPr="00DB3565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details.</w:t>
            </w:r>
            <w:r>
              <w:rPr>
                <w:b/>
              </w:rPr>
              <w:t xml:space="preserve"> </w:t>
            </w:r>
            <w:r w:rsidR="00557661">
              <w:rPr>
                <w:b/>
              </w:rPr>
              <w:t xml:space="preserve">Dean Brown, University of Salford, </w:t>
            </w:r>
            <w:hyperlink r:id="rId13" w:history="1">
              <w:r w:rsidR="00557661" w:rsidRPr="00B1199D">
                <w:rPr>
                  <w:rStyle w:val="Hyperlink"/>
                  <w:b/>
                </w:rPr>
                <w:t>d.a.brown2@salford.ac.uk</w:t>
              </w:r>
            </w:hyperlink>
            <w:r w:rsidR="00557661">
              <w:rPr>
                <w:b/>
              </w:rPr>
              <w:t xml:space="preserve"> 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52144CC1" w:rsidR="00776157" w:rsidRPr="00131E5C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 xml:space="preserve">Are you willing to share your contact details to other ALN staff so if they want to find out </w:t>
            </w:r>
            <w:proofErr w:type="gramStart"/>
            <w:r w:rsidRPr="00DB3565">
              <w:rPr>
                <w:rFonts w:eastAsia="Times New Roman"/>
                <w:b/>
              </w:rPr>
              <w:t>more</w:t>
            </w:r>
            <w:proofErr w:type="gramEnd"/>
            <w:r w:rsidRPr="00DB3565">
              <w:rPr>
                <w:rFonts w:eastAsia="Times New Roman"/>
                <w:b/>
              </w:rPr>
              <w:t xml:space="preserve"> they can contact you directly?</w:t>
            </w:r>
            <w:r w:rsidR="00557661">
              <w:rPr>
                <w:rFonts w:eastAsia="Times New Roman"/>
                <w:b/>
              </w:rPr>
              <w:t xml:space="preserve"> YES</w:t>
            </w:r>
          </w:p>
        </w:tc>
      </w:tr>
    </w:tbl>
    <w:p w14:paraId="34EA22C7" w14:textId="6279D46D" w:rsidR="00DC3F75" w:rsidRDefault="00557661" w:rsidP="009B3AD2">
      <w:pPr>
        <w:spacing w:after="0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0ADC6D3" wp14:editId="3FBFAFBD">
            <wp:simplePos x="0" y="0"/>
            <wp:positionH relativeFrom="page">
              <wp:posOffset>4188460</wp:posOffset>
            </wp:positionH>
            <wp:positionV relativeFrom="paragraph">
              <wp:posOffset>188595</wp:posOffset>
            </wp:positionV>
            <wp:extent cx="2948940" cy="2948940"/>
            <wp:effectExtent l="0" t="0" r="3810" b="381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CB5A2" w14:textId="14A24FB8" w:rsidR="00557661" w:rsidRDefault="00557661" w:rsidP="009B3AD2">
      <w:pPr>
        <w:spacing w:after="0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E009901" wp14:editId="349522EE">
            <wp:simplePos x="0" y="0"/>
            <wp:positionH relativeFrom="margin">
              <wp:posOffset>2811780</wp:posOffset>
            </wp:positionH>
            <wp:positionV relativeFrom="paragraph">
              <wp:posOffset>3958590</wp:posOffset>
            </wp:positionV>
            <wp:extent cx="3924300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495" y="21530"/>
                <wp:lineTo x="2149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7B61A18" wp14:editId="54FBDB64">
            <wp:simplePos x="0" y="0"/>
            <wp:positionH relativeFrom="column">
              <wp:posOffset>-724535</wp:posOffset>
            </wp:positionH>
            <wp:positionV relativeFrom="paragraph">
              <wp:posOffset>474980</wp:posOffset>
            </wp:positionV>
            <wp:extent cx="4481195" cy="3361055"/>
            <wp:effectExtent l="7620" t="0" r="3175" b="3175"/>
            <wp:wrapTight wrapText="bothSides">
              <wp:wrapPolygon edited="0">
                <wp:start x="37" y="21649"/>
                <wp:lineTo x="21523" y="21649"/>
                <wp:lineTo x="21523" y="102"/>
                <wp:lineTo x="37" y="102"/>
                <wp:lineTo x="37" y="21649"/>
              </wp:wrapPolygon>
            </wp:wrapTight>
            <wp:docPr id="2" name="Picture 2" descr="A picture containing text, clo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se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8119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7661" w:rsidSect="00BE3B5B"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DAB9" w14:textId="77777777" w:rsidR="00D23CB1" w:rsidRDefault="00D23CB1" w:rsidP="00C5220F">
      <w:pPr>
        <w:spacing w:after="0" w:line="240" w:lineRule="auto"/>
      </w:pPr>
      <w:r>
        <w:separator/>
      </w:r>
    </w:p>
  </w:endnote>
  <w:endnote w:type="continuationSeparator" w:id="0">
    <w:p w14:paraId="708C8219" w14:textId="77777777" w:rsidR="00D23CB1" w:rsidRDefault="00D23CB1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1665" w14:textId="77777777" w:rsidR="00D23CB1" w:rsidRDefault="00D23CB1" w:rsidP="00C5220F">
      <w:pPr>
        <w:spacing w:after="0" w:line="240" w:lineRule="auto"/>
      </w:pPr>
      <w:r>
        <w:separator/>
      </w:r>
    </w:p>
  </w:footnote>
  <w:footnote w:type="continuationSeparator" w:id="0">
    <w:p w14:paraId="2BABAFF6" w14:textId="77777777" w:rsidR="00D23CB1" w:rsidRDefault="00D23CB1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26A45"/>
    <w:rsid w:val="00131E5C"/>
    <w:rsid w:val="001437BB"/>
    <w:rsid w:val="0014774D"/>
    <w:rsid w:val="001526FD"/>
    <w:rsid w:val="00183B36"/>
    <w:rsid w:val="00195B6C"/>
    <w:rsid w:val="001B52EB"/>
    <w:rsid w:val="001B6732"/>
    <w:rsid w:val="001E60F0"/>
    <w:rsid w:val="00224C1E"/>
    <w:rsid w:val="00226F37"/>
    <w:rsid w:val="002519EE"/>
    <w:rsid w:val="00267DDD"/>
    <w:rsid w:val="002B4D38"/>
    <w:rsid w:val="002E05DA"/>
    <w:rsid w:val="002E6F2B"/>
    <w:rsid w:val="0033136E"/>
    <w:rsid w:val="003442B4"/>
    <w:rsid w:val="003623EC"/>
    <w:rsid w:val="0037406D"/>
    <w:rsid w:val="003A7089"/>
    <w:rsid w:val="003C3CE7"/>
    <w:rsid w:val="003E2E0A"/>
    <w:rsid w:val="00420BD8"/>
    <w:rsid w:val="00435461"/>
    <w:rsid w:val="00495CFA"/>
    <w:rsid w:val="004978FC"/>
    <w:rsid w:val="004A7CF8"/>
    <w:rsid w:val="004D33C6"/>
    <w:rsid w:val="004D3EB9"/>
    <w:rsid w:val="004E5850"/>
    <w:rsid w:val="005108BF"/>
    <w:rsid w:val="0053231F"/>
    <w:rsid w:val="00557661"/>
    <w:rsid w:val="0057464C"/>
    <w:rsid w:val="005A123F"/>
    <w:rsid w:val="005E0E4A"/>
    <w:rsid w:val="005F64DB"/>
    <w:rsid w:val="00601AA0"/>
    <w:rsid w:val="00621CDC"/>
    <w:rsid w:val="00625990"/>
    <w:rsid w:val="00630262"/>
    <w:rsid w:val="00665A09"/>
    <w:rsid w:val="00671E62"/>
    <w:rsid w:val="006E0EE6"/>
    <w:rsid w:val="006F4A29"/>
    <w:rsid w:val="00776157"/>
    <w:rsid w:val="00783304"/>
    <w:rsid w:val="007C2F19"/>
    <w:rsid w:val="007D2841"/>
    <w:rsid w:val="007F6345"/>
    <w:rsid w:val="007F793D"/>
    <w:rsid w:val="008259FA"/>
    <w:rsid w:val="008278BE"/>
    <w:rsid w:val="00833EC4"/>
    <w:rsid w:val="00863481"/>
    <w:rsid w:val="008A4351"/>
    <w:rsid w:val="008E78DC"/>
    <w:rsid w:val="008F6C0F"/>
    <w:rsid w:val="00900338"/>
    <w:rsid w:val="009475BB"/>
    <w:rsid w:val="00971A79"/>
    <w:rsid w:val="009866C8"/>
    <w:rsid w:val="009A6391"/>
    <w:rsid w:val="009B3AD2"/>
    <w:rsid w:val="009D2401"/>
    <w:rsid w:val="00A41761"/>
    <w:rsid w:val="00AB45C2"/>
    <w:rsid w:val="00AD1B55"/>
    <w:rsid w:val="00AF52F2"/>
    <w:rsid w:val="00B56415"/>
    <w:rsid w:val="00BB1EFC"/>
    <w:rsid w:val="00BD18D3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581B"/>
    <w:rsid w:val="00D13191"/>
    <w:rsid w:val="00D23CB1"/>
    <w:rsid w:val="00D23DDB"/>
    <w:rsid w:val="00D42FFA"/>
    <w:rsid w:val="00DB3565"/>
    <w:rsid w:val="00DC3F75"/>
    <w:rsid w:val="00E03844"/>
    <w:rsid w:val="00E14F75"/>
    <w:rsid w:val="00E36694"/>
    <w:rsid w:val="00E43565"/>
    <w:rsid w:val="00E516D2"/>
    <w:rsid w:val="00E609A6"/>
    <w:rsid w:val="00E75F39"/>
    <w:rsid w:val="00EB6C06"/>
    <w:rsid w:val="00EC77A8"/>
    <w:rsid w:val="00ED5950"/>
    <w:rsid w:val="00EE5534"/>
    <w:rsid w:val="00F3273E"/>
    <w:rsid w:val="00F63298"/>
    <w:rsid w:val="00F7759E"/>
    <w:rsid w:val="00F8496D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.a.brown2@salford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usir.salford.ac.uk/id/eprint/43739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dfonline.com/doi/full/10.1080/13614533.2017.1371612?casa_token=MX94voH8gzcAAAAA%3ALQyF-dNyAKtyRXSRSJvQngoxD0AAc21kPgIoWc2A0KaNTqrzSxHkpYGzTahUoOd8gqDmixm4cmsxDM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salford.leganto.exlibrisgroup.com/leganto/public/44SAL_INST/lists/10564436190001611?auth=LOC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lford.primo.exlibrisgroup.com/discovery/collectionDiscovery?vid=44SAL_INST:SAL_MAIN&amp;collectionId=81197596220001611" TargetMode="External"/><Relationship Id="rId14" Type="http://schemas.openxmlformats.org/officeDocument/2006/relationships/image" Target="media/image2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5845E-85C0-4E27-B78B-D4846EE2BE6E}"/>
</file>

<file path=customXml/itemProps3.xml><?xml version="1.0" encoding="utf-8"?>
<ds:datastoreItem xmlns:ds="http://schemas.openxmlformats.org/officeDocument/2006/customXml" ds:itemID="{FF67030B-0C59-4BE3-8C59-4A0EEB18099F}"/>
</file>

<file path=customXml/itemProps4.xml><?xml version="1.0" encoding="utf-8"?>
<ds:datastoreItem xmlns:ds="http://schemas.openxmlformats.org/officeDocument/2006/customXml" ds:itemID="{D9DC8070-562A-49AC-9DA7-05D1E1380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3993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Dean Brown</cp:lastModifiedBy>
  <cp:revision>4</cp:revision>
  <cp:lastPrinted>2020-10-14T11:30:00Z</cp:lastPrinted>
  <dcterms:created xsi:type="dcterms:W3CDTF">2022-03-04T11:17:00Z</dcterms:created>
  <dcterms:modified xsi:type="dcterms:W3CDTF">2022-03-04T14:36:00Z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