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00AF52F2">
        <w:tc>
          <w:tcPr>
            <w:tcW w:w="10456" w:type="dxa"/>
            <w:gridSpan w:val="2"/>
            <w:shd w:val="clear" w:color="auto" w:fill="FFC000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009B3AD2">
        <w:tc>
          <w:tcPr>
            <w:tcW w:w="5665" w:type="dxa"/>
            <w:shd w:val="clear" w:color="auto" w:fill="FFF2CC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7269C889" w:rsidR="000B504B" w:rsidRDefault="00826346" w:rsidP="008F6C0F">
            <w:pPr>
              <w:tabs>
                <w:tab w:val="left" w:pos="9698"/>
              </w:tabs>
              <w:spacing w:line="240" w:lineRule="auto"/>
            </w:pPr>
            <w:r>
              <w:t>Time to Talk Day Tea and Talk</w:t>
            </w:r>
          </w:p>
        </w:tc>
      </w:tr>
      <w:tr w:rsidR="00DC3F75" w14:paraId="59226A20" w14:textId="77777777" w:rsidTr="009B3AD2">
        <w:tc>
          <w:tcPr>
            <w:tcW w:w="5665" w:type="dxa"/>
            <w:shd w:val="clear" w:color="auto" w:fill="FFF2CC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68A79D20" w:rsidR="00DC3F75" w:rsidRDefault="00826346" w:rsidP="008F6C0F">
            <w:pPr>
              <w:tabs>
                <w:tab w:val="left" w:pos="9698"/>
              </w:tabs>
              <w:spacing w:line="240" w:lineRule="auto"/>
            </w:pPr>
            <w:r>
              <w:t>Library staff</w:t>
            </w:r>
          </w:p>
        </w:tc>
      </w:tr>
      <w:tr w:rsidR="00DC3F75" w14:paraId="4B465D6C" w14:textId="77777777" w:rsidTr="009B3AD2">
        <w:tc>
          <w:tcPr>
            <w:tcW w:w="5665" w:type="dxa"/>
            <w:shd w:val="clear" w:color="auto" w:fill="FFF2CC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7EDB107F" w:rsidR="00054D09" w:rsidRDefault="00826346" w:rsidP="008F6C0F">
            <w:pPr>
              <w:spacing w:after="0" w:line="240" w:lineRule="auto"/>
            </w:pPr>
            <w:r>
              <w:t>One online and one in-person session to allow an open discussion around mental wellbeing. The format was very open, with snacks and drinks provided at the in-person session. We also brought resources from the Mind/Rethink Mental Illness Time to Talk webpages to kick-start discussions.</w:t>
            </w:r>
          </w:p>
        </w:tc>
      </w:tr>
      <w:tr w:rsidR="00DC3F75" w14:paraId="080CB954" w14:textId="77777777" w:rsidTr="009B3AD2">
        <w:tc>
          <w:tcPr>
            <w:tcW w:w="5665" w:type="dxa"/>
            <w:shd w:val="clear" w:color="auto" w:fill="FFF2CC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743E85CF" w:rsidR="00DC3F75" w:rsidRDefault="00826346" w:rsidP="008F6C0F">
            <w:pPr>
              <w:tabs>
                <w:tab w:val="left" w:pos="9698"/>
              </w:tabs>
              <w:spacing w:line="240" w:lineRule="auto"/>
            </w:pPr>
            <w:r>
              <w:t>I reached out to the student wellbeing team who already had events planned for students. Therefore, this was organised solely by myself and my colleagues.</w:t>
            </w:r>
          </w:p>
        </w:tc>
      </w:tr>
      <w:tr w:rsidR="00AF52F2" w14:paraId="13CAD97A" w14:textId="77777777" w:rsidTr="009B3AD2">
        <w:trPr>
          <w:trHeight w:val="1042"/>
        </w:trPr>
        <w:tc>
          <w:tcPr>
            <w:tcW w:w="5665" w:type="dxa"/>
            <w:shd w:val="clear" w:color="auto" w:fill="FFF2CC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040CB0CE" w:rsidR="00AF52F2" w:rsidRDefault="00826346" w:rsidP="008F6C0F">
            <w:pPr>
              <w:tabs>
                <w:tab w:val="left" w:pos="9698"/>
              </w:tabs>
              <w:spacing w:line="240" w:lineRule="auto"/>
            </w:pPr>
            <w:r>
              <w:t>This was a standalone event which fed into the wider library and institution initiative to enhance staff wellbeing. It is linked with the University’s 6 Ways to Wellbeing under the themes of Connect, Give and Take Notice.</w:t>
            </w:r>
          </w:p>
        </w:tc>
      </w:tr>
      <w:tr w:rsidR="00DC3F75" w14:paraId="25CC900C" w14:textId="77777777" w:rsidTr="009B3AD2">
        <w:tc>
          <w:tcPr>
            <w:tcW w:w="5665" w:type="dxa"/>
            <w:shd w:val="clear" w:color="auto" w:fill="FFF2CC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5C4E7219" w:rsidR="00DC3F75" w:rsidRDefault="00826346" w:rsidP="008F6C0F">
            <w:pPr>
              <w:tabs>
                <w:tab w:val="left" w:pos="9698"/>
              </w:tabs>
              <w:spacing w:line="240" w:lineRule="auto"/>
            </w:pPr>
            <w:r>
              <w:t>I took verbal feedback from both events from attendees which I collated into a document. I made sure to keep all feedback anonymous due to the sensitive discussions.</w:t>
            </w:r>
          </w:p>
        </w:tc>
      </w:tr>
      <w:tr w:rsidR="000D1564" w14:paraId="537BB2C3" w14:textId="77777777" w:rsidTr="009B3AD2">
        <w:tc>
          <w:tcPr>
            <w:tcW w:w="5665" w:type="dxa"/>
            <w:shd w:val="clear" w:color="auto" w:fill="FFF2CC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(e.g.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53561A72" w14:textId="22C372A6" w:rsidR="00557E3D" w:rsidRDefault="00CD7185" w:rsidP="000D1564">
            <w:r>
              <w:t xml:space="preserve">Having a few resources to kick off conversations was helpful as it gave a </w:t>
            </w:r>
            <w:r w:rsidR="009229E8">
              <w:t>starting point to the discussions</w:t>
            </w:r>
            <w:r w:rsidR="00C66197">
              <w:t xml:space="preserve">. However, it also worked well that we didn’t have a </w:t>
            </w:r>
            <w:r w:rsidR="009229E8">
              <w:t>strict</w:t>
            </w:r>
            <w:r w:rsidR="00C66197">
              <w:t xml:space="preserve"> structure as this allowed people to dip in and out of the conversations when they felt most comfortable.</w:t>
            </w:r>
          </w:p>
          <w:p w14:paraId="380C50AE" w14:textId="77777777" w:rsidR="00D96C50" w:rsidRDefault="00557E3D" w:rsidP="000D1564">
            <w:r>
              <w:t xml:space="preserve">I would recommend </w:t>
            </w:r>
            <w:r w:rsidR="00A26D43">
              <w:t xml:space="preserve">having </w:t>
            </w:r>
            <w:r w:rsidR="00E00C5F">
              <w:t>a nice open room with a door that can not be seen through as this made the session feel more private</w:t>
            </w:r>
            <w:r w:rsidR="002B6986">
              <w:t xml:space="preserve"> for those wishing to discuss anything sensitive. </w:t>
            </w:r>
          </w:p>
          <w:p w14:paraId="3F120460" w14:textId="371B9412" w:rsidR="00557E3D" w:rsidRDefault="002B6986" w:rsidP="000D1564">
            <w:r>
              <w:t xml:space="preserve">We also made sure there were windows which could be opened and asked people to respect </w:t>
            </w:r>
            <w:r w:rsidR="00D96C50">
              <w:t xml:space="preserve">personal choice on </w:t>
            </w:r>
            <w:r w:rsidR="0081597C">
              <w:t>face coverings and social distancing. People said this made them feel more at ease.</w:t>
            </w:r>
          </w:p>
          <w:p w14:paraId="4A91CE03" w14:textId="77777777" w:rsidR="00C66197" w:rsidRDefault="00C66197" w:rsidP="000D1564">
            <w:r>
              <w:t xml:space="preserve">Having the online and in-person option was good as we had feedback from a couple of people that </w:t>
            </w:r>
            <w:r>
              <w:lastRenderedPageBreak/>
              <w:t>they felt more comfortable doing this virtually</w:t>
            </w:r>
            <w:r w:rsidR="009229E8">
              <w:t>, and vice versa.</w:t>
            </w:r>
          </w:p>
          <w:p w14:paraId="00659116" w14:textId="2D44E568" w:rsidR="00C1530D" w:rsidRDefault="00C1530D" w:rsidP="000D1564">
            <w:r>
              <w:t xml:space="preserve">For the online event we had 6 attendees and for the in-person event we had </w:t>
            </w:r>
            <w:r w:rsidR="0013285B">
              <w:t>12 which was much more than expected as this was not something that had happened before.</w:t>
            </w:r>
          </w:p>
        </w:tc>
      </w:tr>
      <w:tr w:rsidR="00DC3F75" w14:paraId="77467AAB" w14:textId="77777777" w:rsidTr="009B3AD2">
        <w:tc>
          <w:tcPr>
            <w:tcW w:w="5665" w:type="dxa"/>
            <w:shd w:val="clear" w:color="auto" w:fill="FFF2CC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lastRenderedPageBreak/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746F9225" w14:textId="0CA488F8" w:rsidR="00DC3F75" w:rsidRDefault="007D2028" w:rsidP="008F6C0F">
            <w:pPr>
              <w:tabs>
                <w:tab w:val="left" w:pos="9698"/>
              </w:tabs>
              <w:spacing w:line="240" w:lineRule="auto"/>
            </w:pPr>
            <w:r>
              <w:t xml:space="preserve">I think </w:t>
            </w:r>
            <w:r w:rsidR="004B6326">
              <w:t>going forward I would set aside more time for people or have more sessions as we unfortunately had to cut some discussions short due to room booking limitations.</w:t>
            </w:r>
            <w:r w:rsidR="006437FF">
              <w:t xml:space="preserve"> For example, have a drop-in running for a coupe of hours which people can come and go from.</w:t>
            </w:r>
          </w:p>
        </w:tc>
      </w:tr>
      <w:tr w:rsidR="00776157" w14:paraId="13149A35" w14:textId="77777777" w:rsidTr="009B3AD2">
        <w:tc>
          <w:tcPr>
            <w:tcW w:w="5665" w:type="dxa"/>
            <w:shd w:val="clear" w:color="auto" w:fill="FFF2CC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3E8B8303" w:rsidR="00776157" w:rsidRDefault="00BC2D60" w:rsidP="00776157">
            <w:pPr>
              <w:tabs>
                <w:tab w:val="left" w:pos="9698"/>
              </w:tabs>
              <w:spacing w:line="240" w:lineRule="auto"/>
            </w:pPr>
            <w:r>
              <w:t>We did decorate the room with banners, had a table with drinks and snacks and a table with resources</w:t>
            </w:r>
            <w:r w:rsidR="004D5166">
              <w:t>, then we laid out chairs in a sort of circular pattern, but allowed people to move them as they wished.</w:t>
            </w:r>
            <w:r>
              <w:t xml:space="preserve"> We didn’t take photos during the session as we wanted to maintain people’s privacy.</w:t>
            </w:r>
          </w:p>
        </w:tc>
      </w:tr>
      <w:tr w:rsidR="00776157" w14:paraId="05ADBAAA" w14:textId="77777777" w:rsidTr="009B3AD2">
        <w:tc>
          <w:tcPr>
            <w:tcW w:w="5665" w:type="dxa"/>
            <w:shd w:val="clear" w:color="auto" w:fill="FFF2CC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0B64EAA0" w:rsidR="00776157" w:rsidRDefault="00826346" w:rsidP="00776157">
            <w:pPr>
              <w:tabs>
                <w:tab w:val="left" w:pos="9698"/>
              </w:tabs>
              <w:spacing w:line="240" w:lineRule="auto"/>
            </w:pPr>
            <w:hyperlink r:id="rId9" w:history="1">
              <w:r w:rsidRPr="00D952FB">
                <w:rPr>
                  <w:rStyle w:val="Hyperlink"/>
                </w:rPr>
                <w:t>https://timetotalkday.co.uk/about/</w:t>
              </w:r>
            </w:hyperlink>
            <w:r>
              <w:t xml:space="preserve"> </w:t>
            </w:r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0031CF4C" w14:textId="77777777" w:rsidR="00776157" w:rsidRDefault="00776157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t>Your name, institution and contact details.</w:t>
            </w:r>
            <w:r>
              <w:rPr>
                <w:b/>
              </w:rPr>
              <w:t xml:space="preserve"> </w:t>
            </w:r>
          </w:p>
          <w:p w14:paraId="5B35C803" w14:textId="77777777" w:rsidR="00826346" w:rsidRDefault="00826346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Frances Murphy</w:t>
            </w:r>
          </w:p>
          <w:p w14:paraId="572A6A73" w14:textId="77777777" w:rsidR="00826346" w:rsidRDefault="00826346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The University of Manchester Library</w:t>
            </w:r>
          </w:p>
          <w:p w14:paraId="74DEBC02" w14:textId="3E0375C8" w:rsidR="00826346" w:rsidRPr="00DB3565" w:rsidRDefault="00826346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frances.murphy@manchester.ac.uk</w:t>
            </w: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5AECC399" w14:textId="77777777" w:rsidR="00826346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Are you willing to share your contact details to other ALN staff so if they want to find out more they can contact you directly?</w:t>
            </w:r>
            <w:r w:rsidR="00826346">
              <w:rPr>
                <w:rFonts w:eastAsia="Times New Roman"/>
                <w:b/>
              </w:rPr>
              <w:t xml:space="preserve"> </w:t>
            </w:r>
          </w:p>
          <w:p w14:paraId="04933EED" w14:textId="64CD22DE" w:rsidR="00776157" w:rsidRPr="00131E5C" w:rsidRDefault="00826346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Yes, feel free to pass on my email address above.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6F56" w14:textId="77777777" w:rsidR="00954461" w:rsidRDefault="00954461" w:rsidP="00C5220F">
      <w:pPr>
        <w:spacing w:after="0" w:line="240" w:lineRule="auto"/>
      </w:pPr>
      <w:r>
        <w:separator/>
      </w:r>
    </w:p>
  </w:endnote>
  <w:endnote w:type="continuationSeparator" w:id="0">
    <w:p w14:paraId="1D959D17" w14:textId="77777777" w:rsidR="00954461" w:rsidRDefault="00954461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2E80" w14:textId="77777777" w:rsidR="00954461" w:rsidRDefault="00954461" w:rsidP="00C5220F">
      <w:pPr>
        <w:spacing w:after="0" w:line="240" w:lineRule="auto"/>
      </w:pPr>
      <w:r>
        <w:separator/>
      </w:r>
    </w:p>
  </w:footnote>
  <w:footnote w:type="continuationSeparator" w:id="0">
    <w:p w14:paraId="756543FF" w14:textId="77777777" w:rsidR="00954461" w:rsidRDefault="00954461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31E5C"/>
    <w:rsid w:val="0013285B"/>
    <w:rsid w:val="001437BB"/>
    <w:rsid w:val="0014774D"/>
    <w:rsid w:val="001526FD"/>
    <w:rsid w:val="00195B6C"/>
    <w:rsid w:val="001B52EB"/>
    <w:rsid w:val="001B6732"/>
    <w:rsid w:val="001E60F0"/>
    <w:rsid w:val="00224C1E"/>
    <w:rsid w:val="00226F37"/>
    <w:rsid w:val="002519EE"/>
    <w:rsid w:val="00267DDD"/>
    <w:rsid w:val="002B4D38"/>
    <w:rsid w:val="002B6986"/>
    <w:rsid w:val="002E05DA"/>
    <w:rsid w:val="002E6F2B"/>
    <w:rsid w:val="0033136E"/>
    <w:rsid w:val="003442B4"/>
    <w:rsid w:val="003623EC"/>
    <w:rsid w:val="0037406D"/>
    <w:rsid w:val="003A7089"/>
    <w:rsid w:val="003C3CE7"/>
    <w:rsid w:val="003E2E0A"/>
    <w:rsid w:val="00420BD8"/>
    <w:rsid w:val="00435461"/>
    <w:rsid w:val="00495CFA"/>
    <w:rsid w:val="004978FC"/>
    <w:rsid w:val="004A7CF8"/>
    <w:rsid w:val="004B6326"/>
    <w:rsid w:val="004D33C6"/>
    <w:rsid w:val="004D5166"/>
    <w:rsid w:val="004E5850"/>
    <w:rsid w:val="005108BF"/>
    <w:rsid w:val="0053231F"/>
    <w:rsid w:val="00557E3D"/>
    <w:rsid w:val="0057464C"/>
    <w:rsid w:val="005A123F"/>
    <w:rsid w:val="005E0E4A"/>
    <w:rsid w:val="005F64DB"/>
    <w:rsid w:val="00621CDC"/>
    <w:rsid w:val="00625990"/>
    <w:rsid w:val="00630262"/>
    <w:rsid w:val="006437FF"/>
    <w:rsid w:val="00665A09"/>
    <w:rsid w:val="00671E62"/>
    <w:rsid w:val="006E0EE6"/>
    <w:rsid w:val="006F4A29"/>
    <w:rsid w:val="00776157"/>
    <w:rsid w:val="007C2F19"/>
    <w:rsid w:val="007D2028"/>
    <w:rsid w:val="007D2841"/>
    <w:rsid w:val="007F6345"/>
    <w:rsid w:val="007F793D"/>
    <w:rsid w:val="0081597C"/>
    <w:rsid w:val="008259FA"/>
    <w:rsid w:val="00826346"/>
    <w:rsid w:val="008278BE"/>
    <w:rsid w:val="00833EC4"/>
    <w:rsid w:val="00863481"/>
    <w:rsid w:val="008A4351"/>
    <w:rsid w:val="008E78DC"/>
    <w:rsid w:val="008F6C0F"/>
    <w:rsid w:val="00900338"/>
    <w:rsid w:val="009229E8"/>
    <w:rsid w:val="009475BB"/>
    <w:rsid w:val="00954461"/>
    <w:rsid w:val="00971A79"/>
    <w:rsid w:val="009866C8"/>
    <w:rsid w:val="009A6391"/>
    <w:rsid w:val="009B3AD2"/>
    <w:rsid w:val="009D2401"/>
    <w:rsid w:val="00A26D43"/>
    <w:rsid w:val="00A41761"/>
    <w:rsid w:val="00AB45C2"/>
    <w:rsid w:val="00AD1B55"/>
    <w:rsid w:val="00AF52F2"/>
    <w:rsid w:val="00B56415"/>
    <w:rsid w:val="00BB1EFC"/>
    <w:rsid w:val="00BC2D60"/>
    <w:rsid w:val="00BE3B5B"/>
    <w:rsid w:val="00C112BB"/>
    <w:rsid w:val="00C1530D"/>
    <w:rsid w:val="00C20D62"/>
    <w:rsid w:val="00C5220F"/>
    <w:rsid w:val="00C66197"/>
    <w:rsid w:val="00C73EA9"/>
    <w:rsid w:val="00C750C5"/>
    <w:rsid w:val="00C86A63"/>
    <w:rsid w:val="00CA0E55"/>
    <w:rsid w:val="00CB2264"/>
    <w:rsid w:val="00CC2209"/>
    <w:rsid w:val="00CD7185"/>
    <w:rsid w:val="00CF581B"/>
    <w:rsid w:val="00D13191"/>
    <w:rsid w:val="00D23DDB"/>
    <w:rsid w:val="00D42FFA"/>
    <w:rsid w:val="00D96C50"/>
    <w:rsid w:val="00DB3565"/>
    <w:rsid w:val="00DC3F75"/>
    <w:rsid w:val="00E00C5F"/>
    <w:rsid w:val="00E03844"/>
    <w:rsid w:val="00E14F75"/>
    <w:rsid w:val="00E36694"/>
    <w:rsid w:val="00E43565"/>
    <w:rsid w:val="00E75F39"/>
    <w:rsid w:val="00EB6C06"/>
    <w:rsid w:val="00EC77A8"/>
    <w:rsid w:val="00EE5534"/>
    <w:rsid w:val="00F3273E"/>
    <w:rsid w:val="00F63298"/>
    <w:rsid w:val="00F7759E"/>
    <w:rsid w:val="00F8496D"/>
    <w:rsid w:val="00FC7514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imetotalkday.co.uk/about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4A4174-D489-4318-A9E3-BD3BB18A64CF}"/>
</file>

<file path=customXml/itemProps3.xml><?xml version="1.0" encoding="utf-8"?>
<ds:datastoreItem xmlns:ds="http://schemas.openxmlformats.org/officeDocument/2006/customXml" ds:itemID="{B51DD580-84C8-4204-921D-5C0755130241}"/>
</file>

<file path=customXml/itemProps4.xml><?xml version="1.0" encoding="utf-8"?>
<ds:datastoreItem xmlns:ds="http://schemas.openxmlformats.org/officeDocument/2006/customXml" ds:itemID="{B94BB3E1-AC7E-404D-81BE-1E1264FC8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4120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Frances Murphy</cp:lastModifiedBy>
  <cp:revision>18</cp:revision>
  <cp:lastPrinted>2020-10-14T11:30:00Z</cp:lastPrinted>
  <dcterms:created xsi:type="dcterms:W3CDTF">2022-04-11T18:46:00Z</dcterms:created>
  <dcterms:modified xsi:type="dcterms:W3CDTF">2022-04-19T14:10:00Z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